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CAB" w:rsidRPr="00087917" w:rsidRDefault="00806CAB" w:rsidP="00087917">
      <w:pPr>
        <w:jc w:val="center"/>
        <w:rPr>
          <w:b/>
          <w:bCs/>
          <w:sz w:val="28"/>
          <w:szCs w:val="28"/>
        </w:rPr>
      </w:pPr>
      <w:r w:rsidRPr="00087917">
        <w:rPr>
          <w:b/>
          <w:bCs/>
          <w:sz w:val="28"/>
          <w:szCs w:val="28"/>
        </w:rPr>
        <w:t xml:space="preserve">STATEMENT OF </w:t>
      </w:r>
      <w:r w:rsidR="00977FCE" w:rsidRPr="00087917">
        <w:rPr>
          <w:b/>
          <w:bCs/>
          <w:sz w:val="28"/>
          <w:szCs w:val="28"/>
        </w:rPr>
        <w:t>RODGER J. BOYD</w:t>
      </w:r>
    </w:p>
    <w:p w:rsidR="00977FCE" w:rsidRPr="00087917" w:rsidRDefault="00977FCE" w:rsidP="00087917">
      <w:pPr>
        <w:ind w:right="-450"/>
        <w:jc w:val="center"/>
        <w:rPr>
          <w:b/>
          <w:bCs/>
          <w:sz w:val="28"/>
          <w:szCs w:val="28"/>
        </w:rPr>
      </w:pPr>
      <w:r w:rsidRPr="00087917">
        <w:rPr>
          <w:b/>
          <w:bCs/>
          <w:sz w:val="28"/>
          <w:szCs w:val="28"/>
        </w:rPr>
        <w:t xml:space="preserve">Deputy </w:t>
      </w:r>
      <w:r w:rsidR="00806CAB" w:rsidRPr="00087917">
        <w:rPr>
          <w:b/>
          <w:bCs/>
          <w:sz w:val="28"/>
          <w:szCs w:val="28"/>
        </w:rPr>
        <w:t>Assistant Secretary</w:t>
      </w:r>
      <w:r w:rsidRPr="00087917">
        <w:rPr>
          <w:b/>
          <w:bCs/>
          <w:sz w:val="28"/>
          <w:szCs w:val="28"/>
        </w:rPr>
        <w:t>, Native American Programs</w:t>
      </w:r>
    </w:p>
    <w:p w:rsidR="00977FCE" w:rsidRPr="00087917" w:rsidRDefault="00806CAB" w:rsidP="00087917">
      <w:pPr>
        <w:ind w:right="-450"/>
        <w:jc w:val="center"/>
        <w:rPr>
          <w:b/>
          <w:bCs/>
          <w:sz w:val="28"/>
          <w:szCs w:val="28"/>
        </w:rPr>
      </w:pPr>
      <w:r w:rsidRPr="00087917">
        <w:rPr>
          <w:b/>
          <w:bCs/>
          <w:sz w:val="28"/>
          <w:szCs w:val="28"/>
        </w:rPr>
        <w:t xml:space="preserve">Office of </w:t>
      </w:r>
      <w:r w:rsidR="00977FCE" w:rsidRPr="00087917">
        <w:rPr>
          <w:b/>
          <w:bCs/>
          <w:sz w:val="28"/>
          <w:szCs w:val="28"/>
        </w:rPr>
        <w:t>Public and Indian Housing</w:t>
      </w:r>
    </w:p>
    <w:p w:rsidR="00806CAB" w:rsidRPr="00087917" w:rsidRDefault="00806CAB" w:rsidP="00087917">
      <w:pPr>
        <w:ind w:right="-450"/>
        <w:jc w:val="center"/>
        <w:rPr>
          <w:sz w:val="28"/>
          <w:szCs w:val="28"/>
        </w:rPr>
      </w:pPr>
      <w:r w:rsidRPr="00087917">
        <w:rPr>
          <w:b/>
          <w:bCs/>
          <w:sz w:val="28"/>
          <w:szCs w:val="28"/>
        </w:rPr>
        <w:t>U.S. Depart</w:t>
      </w:r>
      <w:r w:rsidR="00E309D1" w:rsidRPr="00087917">
        <w:rPr>
          <w:b/>
          <w:bCs/>
          <w:sz w:val="28"/>
          <w:szCs w:val="28"/>
        </w:rPr>
        <w:t>m</w:t>
      </w:r>
      <w:r w:rsidRPr="00087917">
        <w:rPr>
          <w:b/>
          <w:bCs/>
          <w:sz w:val="28"/>
          <w:szCs w:val="28"/>
        </w:rPr>
        <w:t>ent of Housing and Urban Development</w:t>
      </w:r>
    </w:p>
    <w:p w:rsidR="00806CAB" w:rsidRPr="00087917" w:rsidRDefault="00806CAB" w:rsidP="009B7E22">
      <w:pPr>
        <w:ind w:right="-450"/>
        <w:jc w:val="center"/>
        <w:rPr>
          <w:sz w:val="28"/>
          <w:szCs w:val="28"/>
        </w:rPr>
      </w:pPr>
    </w:p>
    <w:p w:rsidR="00806CAB" w:rsidRPr="00087917" w:rsidRDefault="00806CAB" w:rsidP="009B7E22">
      <w:pPr>
        <w:ind w:right="-450"/>
        <w:rPr>
          <w:sz w:val="24"/>
          <w:szCs w:val="24"/>
        </w:rPr>
      </w:pPr>
    </w:p>
    <w:p w:rsidR="00806CAB" w:rsidRPr="00087917" w:rsidRDefault="00806CAB" w:rsidP="009B7E22">
      <w:pPr>
        <w:ind w:right="-450"/>
        <w:rPr>
          <w:sz w:val="24"/>
          <w:szCs w:val="24"/>
        </w:rPr>
      </w:pPr>
    </w:p>
    <w:p w:rsidR="00806CAB" w:rsidRPr="00087917" w:rsidRDefault="0027257D" w:rsidP="009B7E22">
      <w:pPr>
        <w:ind w:right="-450"/>
        <w:jc w:val="center"/>
        <w:rPr>
          <w:sz w:val="24"/>
          <w:szCs w:val="24"/>
        </w:rPr>
      </w:pPr>
      <w:r w:rsidRPr="00087917">
        <w:rPr>
          <w:noProof/>
          <w:sz w:val="24"/>
          <w:szCs w:val="24"/>
        </w:rPr>
        <w:drawing>
          <wp:inline distT="0" distB="0" distL="0" distR="0">
            <wp:extent cx="3057525" cy="3057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57525" cy="3057525"/>
                    </a:xfrm>
                    <a:prstGeom prst="rect">
                      <a:avLst/>
                    </a:prstGeom>
                    <a:noFill/>
                    <a:ln w="9525">
                      <a:noFill/>
                      <a:miter lim="800000"/>
                      <a:headEnd/>
                      <a:tailEnd/>
                    </a:ln>
                  </pic:spPr>
                </pic:pic>
              </a:graphicData>
            </a:graphic>
          </wp:inline>
        </w:drawing>
      </w:r>
    </w:p>
    <w:p w:rsidR="00806CAB" w:rsidRPr="00087917" w:rsidRDefault="00806CAB" w:rsidP="009B7E22">
      <w:pPr>
        <w:ind w:right="-450"/>
        <w:rPr>
          <w:sz w:val="24"/>
          <w:szCs w:val="24"/>
        </w:rPr>
      </w:pPr>
    </w:p>
    <w:p w:rsidR="00806CAB" w:rsidRPr="00087917" w:rsidRDefault="00806CAB" w:rsidP="009B7E22">
      <w:pPr>
        <w:ind w:right="-450"/>
        <w:rPr>
          <w:sz w:val="24"/>
          <w:szCs w:val="24"/>
        </w:rPr>
      </w:pPr>
    </w:p>
    <w:p w:rsidR="00806CAB" w:rsidRPr="00087917" w:rsidRDefault="00806CAB" w:rsidP="009B7E22">
      <w:pPr>
        <w:ind w:right="-450"/>
        <w:rPr>
          <w:sz w:val="24"/>
          <w:szCs w:val="24"/>
        </w:rPr>
      </w:pPr>
    </w:p>
    <w:p w:rsidR="00701953" w:rsidRPr="00087917" w:rsidRDefault="00806CAB" w:rsidP="009B7E22">
      <w:pPr>
        <w:ind w:right="-450"/>
        <w:jc w:val="center"/>
        <w:rPr>
          <w:b/>
          <w:bCs/>
          <w:sz w:val="28"/>
          <w:szCs w:val="28"/>
        </w:rPr>
      </w:pPr>
      <w:r w:rsidRPr="00087917">
        <w:rPr>
          <w:b/>
          <w:bCs/>
          <w:sz w:val="28"/>
          <w:szCs w:val="28"/>
        </w:rPr>
        <w:t>BEFORE THE</w:t>
      </w:r>
      <w:r w:rsidR="00701953" w:rsidRPr="00087917">
        <w:rPr>
          <w:b/>
          <w:bCs/>
          <w:sz w:val="28"/>
          <w:szCs w:val="28"/>
        </w:rPr>
        <w:t xml:space="preserve"> </w:t>
      </w:r>
      <w:r w:rsidR="00F513E3" w:rsidRPr="00087917">
        <w:rPr>
          <w:b/>
          <w:bCs/>
          <w:sz w:val="28"/>
          <w:szCs w:val="28"/>
        </w:rPr>
        <w:t>COMMITTEE ON IND</w:t>
      </w:r>
      <w:r w:rsidR="0027257D" w:rsidRPr="00087917">
        <w:rPr>
          <w:b/>
          <w:bCs/>
          <w:sz w:val="28"/>
          <w:szCs w:val="28"/>
        </w:rPr>
        <w:t>I</w:t>
      </w:r>
      <w:r w:rsidR="00F513E3" w:rsidRPr="00087917">
        <w:rPr>
          <w:b/>
          <w:bCs/>
          <w:sz w:val="28"/>
          <w:szCs w:val="28"/>
        </w:rPr>
        <w:t>A</w:t>
      </w:r>
      <w:r w:rsidR="0027257D" w:rsidRPr="00087917">
        <w:rPr>
          <w:b/>
          <w:bCs/>
          <w:sz w:val="28"/>
          <w:szCs w:val="28"/>
        </w:rPr>
        <w:t>N AFFAIRS</w:t>
      </w:r>
    </w:p>
    <w:p w:rsidR="00701953" w:rsidRPr="00087917" w:rsidRDefault="00701953" w:rsidP="009B7E22">
      <w:pPr>
        <w:ind w:right="-450"/>
        <w:jc w:val="center"/>
        <w:rPr>
          <w:b/>
          <w:bCs/>
          <w:sz w:val="28"/>
          <w:szCs w:val="28"/>
        </w:rPr>
      </w:pPr>
    </w:p>
    <w:p w:rsidR="00471556" w:rsidRPr="00087917" w:rsidRDefault="00471556" w:rsidP="009B7E22">
      <w:pPr>
        <w:ind w:right="-450"/>
        <w:jc w:val="center"/>
        <w:rPr>
          <w:b/>
          <w:bCs/>
          <w:sz w:val="28"/>
          <w:szCs w:val="28"/>
        </w:rPr>
      </w:pPr>
      <w:r w:rsidRPr="00087917">
        <w:rPr>
          <w:b/>
          <w:bCs/>
          <w:sz w:val="28"/>
          <w:szCs w:val="28"/>
        </w:rPr>
        <w:t xml:space="preserve">UNITED STATES </w:t>
      </w:r>
      <w:r w:rsidR="0027257D" w:rsidRPr="00087917">
        <w:rPr>
          <w:b/>
          <w:bCs/>
          <w:sz w:val="28"/>
          <w:szCs w:val="28"/>
        </w:rPr>
        <w:t>SENATE</w:t>
      </w:r>
    </w:p>
    <w:p w:rsidR="00806CAB" w:rsidRPr="00087917" w:rsidRDefault="00806CAB" w:rsidP="009B7E22">
      <w:pPr>
        <w:ind w:right="-450"/>
        <w:rPr>
          <w:sz w:val="24"/>
          <w:szCs w:val="24"/>
        </w:rPr>
      </w:pPr>
    </w:p>
    <w:p w:rsidR="00625328" w:rsidRPr="00087917" w:rsidRDefault="00625328" w:rsidP="009B7E22">
      <w:pPr>
        <w:ind w:right="-450"/>
        <w:jc w:val="center"/>
        <w:rPr>
          <w:b/>
          <w:sz w:val="24"/>
          <w:szCs w:val="24"/>
        </w:rPr>
      </w:pPr>
    </w:p>
    <w:p w:rsidR="00806CAB" w:rsidRPr="00087917" w:rsidRDefault="00625328" w:rsidP="009B7E22">
      <w:pPr>
        <w:ind w:right="-450"/>
        <w:jc w:val="center"/>
        <w:rPr>
          <w:b/>
          <w:sz w:val="26"/>
          <w:szCs w:val="26"/>
        </w:rPr>
      </w:pPr>
      <w:r w:rsidRPr="00087917">
        <w:rPr>
          <w:b/>
          <w:sz w:val="26"/>
          <w:szCs w:val="26"/>
        </w:rPr>
        <w:t xml:space="preserve">Legislative Field Hearing, Honolulu, Hawaii </w:t>
      </w:r>
    </w:p>
    <w:p w:rsidR="00806CAB" w:rsidRPr="00087917" w:rsidRDefault="00806CAB" w:rsidP="009B7E22">
      <w:pPr>
        <w:ind w:right="-450"/>
        <w:rPr>
          <w:sz w:val="26"/>
          <w:szCs w:val="26"/>
        </w:rPr>
      </w:pPr>
    </w:p>
    <w:p w:rsidR="00806CAB" w:rsidRPr="00087917" w:rsidRDefault="00625328" w:rsidP="009B7E22">
      <w:pPr>
        <w:pStyle w:val="Heading8"/>
        <w:spacing w:before="0"/>
        <w:ind w:left="0" w:right="-450"/>
        <w:rPr>
          <w:sz w:val="26"/>
          <w:szCs w:val="26"/>
        </w:rPr>
      </w:pPr>
      <w:r w:rsidRPr="00087917">
        <w:rPr>
          <w:sz w:val="26"/>
          <w:szCs w:val="26"/>
        </w:rPr>
        <w:t>April 13, 2012</w:t>
      </w:r>
    </w:p>
    <w:p w:rsidR="00806CAB" w:rsidRPr="00087917" w:rsidRDefault="00806CAB" w:rsidP="009B7E22">
      <w:pPr>
        <w:ind w:right="-450"/>
        <w:rPr>
          <w:sz w:val="24"/>
          <w:szCs w:val="24"/>
        </w:rPr>
      </w:pPr>
    </w:p>
    <w:p w:rsidR="00B16406" w:rsidRPr="00087917" w:rsidRDefault="00806CAB" w:rsidP="00B16406">
      <w:pPr>
        <w:rPr>
          <w:b/>
          <w:bCs/>
          <w:sz w:val="24"/>
          <w:szCs w:val="24"/>
          <w:u w:val="single"/>
        </w:rPr>
      </w:pPr>
      <w:r w:rsidRPr="00087917">
        <w:rPr>
          <w:sz w:val="24"/>
          <w:szCs w:val="24"/>
        </w:rPr>
        <w:br w:type="page"/>
      </w:r>
    </w:p>
    <w:p w:rsidR="00B16406" w:rsidRPr="00087917" w:rsidRDefault="00B16406" w:rsidP="00B16406">
      <w:pPr>
        <w:rPr>
          <w:b/>
          <w:bCs/>
          <w:sz w:val="24"/>
          <w:szCs w:val="24"/>
          <w:u w:val="single"/>
        </w:rPr>
      </w:pPr>
    </w:p>
    <w:p w:rsidR="00B16406" w:rsidRPr="00087917" w:rsidRDefault="00B16406" w:rsidP="00B16406">
      <w:pPr>
        <w:ind w:firstLine="576"/>
        <w:rPr>
          <w:sz w:val="24"/>
          <w:szCs w:val="24"/>
        </w:rPr>
      </w:pPr>
      <w:r w:rsidRPr="00087917">
        <w:rPr>
          <w:sz w:val="24"/>
          <w:szCs w:val="24"/>
        </w:rPr>
        <w:t xml:space="preserve">Mr. Chairman and Members of the Committee, it is a pleasure to appear before you this morning. </w:t>
      </w:r>
      <w:r w:rsidR="00791FD0" w:rsidRPr="00087917">
        <w:rPr>
          <w:sz w:val="24"/>
          <w:szCs w:val="24"/>
        </w:rPr>
        <w:t xml:space="preserve"> </w:t>
      </w:r>
      <w:r w:rsidRPr="00087917">
        <w:rPr>
          <w:sz w:val="24"/>
          <w:szCs w:val="24"/>
        </w:rPr>
        <w:t xml:space="preserve">My name is Rodger Boyd, and I am the Deputy Assistant Secretary for the Office of Native American Programs (ONAP) at the Department of Housing and Urban Development.   </w:t>
      </w:r>
    </w:p>
    <w:p w:rsidR="00B16406" w:rsidRPr="00087917" w:rsidRDefault="00B16406" w:rsidP="00B16406">
      <w:pPr>
        <w:ind w:firstLine="576"/>
        <w:rPr>
          <w:sz w:val="24"/>
          <w:szCs w:val="24"/>
        </w:rPr>
      </w:pPr>
    </w:p>
    <w:p w:rsidR="00B16406" w:rsidRPr="00087917" w:rsidRDefault="00B16406" w:rsidP="00B16406">
      <w:pPr>
        <w:ind w:firstLine="576"/>
        <w:rPr>
          <w:sz w:val="24"/>
          <w:szCs w:val="24"/>
        </w:rPr>
      </w:pPr>
      <w:r w:rsidRPr="00087917">
        <w:rPr>
          <w:sz w:val="24"/>
          <w:szCs w:val="24"/>
        </w:rPr>
        <w:t xml:space="preserve">On behalf of Secretary Donovan and Assistant Secretary Henriquez, I would like to express my deep appreciation for your ongoing commitment to improving housing conditions for </w:t>
      </w:r>
      <w:r w:rsidR="00DD0E4E">
        <w:rPr>
          <w:sz w:val="24"/>
          <w:szCs w:val="24"/>
        </w:rPr>
        <w:t>Native Hawaiian</w:t>
      </w:r>
      <w:r w:rsidRPr="00087917">
        <w:rPr>
          <w:sz w:val="24"/>
          <w:szCs w:val="24"/>
        </w:rPr>
        <w:t xml:space="preserve"> peoples.  I also want to thank you for allowing HUD to provide comments on Senate Bill 65, the Hawaiian Homeownership Act of 2011.</w:t>
      </w:r>
    </w:p>
    <w:p w:rsidR="00B16406" w:rsidRPr="00087917" w:rsidRDefault="00B16406" w:rsidP="00B16406">
      <w:pPr>
        <w:rPr>
          <w:sz w:val="24"/>
          <w:szCs w:val="24"/>
        </w:rPr>
      </w:pPr>
    </w:p>
    <w:p w:rsidR="00EC03D0" w:rsidRPr="00087917" w:rsidRDefault="002F1C54" w:rsidP="00B16406">
      <w:pPr>
        <w:pStyle w:val="BlockText"/>
        <w:ind w:left="0" w:right="0"/>
        <w:rPr>
          <w:szCs w:val="24"/>
        </w:rPr>
      </w:pPr>
      <w:r w:rsidRPr="00087917">
        <w:rPr>
          <w:szCs w:val="24"/>
        </w:rPr>
        <w:t>Chairman Akaka, a</w:t>
      </w:r>
      <w:r w:rsidR="00B16406" w:rsidRPr="00087917">
        <w:rPr>
          <w:szCs w:val="24"/>
        </w:rPr>
        <w:t xml:space="preserve">s you know, </w:t>
      </w:r>
      <w:r w:rsidRPr="00087917">
        <w:rPr>
          <w:szCs w:val="24"/>
        </w:rPr>
        <w:t xml:space="preserve">HUD’s </w:t>
      </w:r>
      <w:r w:rsidR="00603013" w:rsidRPr="00087917">
        <w:rPr>
          <w:szCs w:val="24"/>
        </w:rPr>
        <w:t xml:space="preserve">Office of Native American Programs </w:t>
      </w:r>
      <w:r w:rsidR="00B16406" w:rsidRPr="00087917">
        <w:rPr>
          <w:szCs w:val="24"/>
        </w:rPr>
        <w:t xml:space="preserve">is responsible for the management, operation and oversight of HUD’s Native American and </w:t>
      </w:r>
      <w:r w:rsidR="00DD0E4E">
        <w:rPr>
          <w:szCs w:val="24"/>
        </w:rPr>
        <w:t>Native Hawaiian</w:t>
      </w:r>
      <w:r w:rsidR="00B16406" w:rsidRPr="00087917">
        <w:rPr>
          <w:szCs w:val="24"/>
        </w:rPr>
        <w:t xml:space="preserve"> programs.  These programs are available to 56</w:t>
      </w:r>
      <w:r w:rsidR="00603013" w:rsidRPr="00087917">
        <w:rPr>
          <w:szCs w:val="24"/>
        </w:rPr>
        <w:t>6</w:t>
      </w:r>
      <w:r w:rsidR="00B16406" w:rsidRPr="00087917">
        <w:rPr>
          <w:szCs w:val="24"/>
        </w:rPr>
        <w:t xml:space="preserve"> federally-recognized Indian tribes, 5 state-recognized Indian tribes formerly eligible under the United States Housing Act of 1937, and the State of Hawaii’s Department of Hawaiian Home Lands.  We serve these entities directly, or through their tribally designated housing entities, by providing grants and loan guarantees designed to support affordable housing and community development activities. </w:t>
      </w:r>
    </w:p>
    <w:p w:rsidR="00EC03D0" w:rsidRPr="00087917" w:rsidRDefault="00EC03D0" w:rsidP="00B16406">
      <w:pPr>
        <w:pStyle w:val="BlockText"/>
        <w:ind w:left="0" w:right="0"/>
        <w:rPr>
          <w:szCs w:val="24"/>
        </w:rPr>
      </w:pPr>
    </w:p>
    <w:p w:rsidR="00B16406" w:rsidRPr="00087917" w:rsidRDefault="00EC03D0" w:rsidP="00EC03D0">
      <w:pPr>
        <w:pStyle w:val="BlockText"/>
        <w:ind w:left="0" w:right="0" w:firstLine="0"/>
        <w:rPr>
          <w:i/>
          <w:szCs w:val="24"/>
          <w:u w:val="single"/>
        </w:rPr>
      </w:pPr>
      <w:r w:rsidRPr="00087917">
        <w:rPr>
          <w:i/>
          <w:szCs w:val="24"/>
          <w:u w:val="single"/>
        </w:rPr>
        <w:t>Native Hawaiian Housing Block Grant Program</w:t>
      </w:r>
    </w:p>
    <w:p w:rsidR="009B7E22" w:rsidRPr="00087917" w:rsidRDefault="009B7E22" w:rsidP="009B7E22">
      <w:pPr>
        <w:rPr>
          <w:sz w:val="24"/>
          <w:szCs w:val="24"/>
        </w:rPr>
      </w:pPr>
    </w:p>
    <w:p w:rsidR="00ED5AF8" w:rsidRPr="00087917" w:rsidRDefault="009B7E22" w:rsidP="009B7E22">
      <w:pPr>
        <w:ind w:firstLine="720"/>
        <w:rPr>
          <w:sz w:val="24"/>
          <w:szCs w:val="24"/>
        </w:rPr>
      </w:pPr>
      <w:r w:rsidRPr="00087917">
        <w:rPr>
          <w:sz w:val="24"/>
          <w:szCs w:val="24"/>
        </w:rPr>
        <w:t>T</w:t>
      </w:r>
      <w:r w:rsidR="00ED5AF8" w:rsidRPr="00087917">
        <w:rPr>
          <w:sz w:val="24"/>
          <w:szCs w:val="24"/>
        </w:rPr>
        <w:t xml:space="preserve">itle VIII of the </w:t>
      </w:r>
      <w:r w:rsidRPr="00087917">
        <w:rPr>
          <w:sz w:val="24"/>
          <w:szCs w:val="24"/>
        </w:rPr>
        <w:t xml:space="preserve">Native American Housing </w:t>
      </w:r>
      <w:r w:rsidR="001E0AE6" w:rsidRPr="00087917">
        <w:rPr>
          <w:sz w:val="24"/>
          <w:szCs w:val="24"/>
        </w:rPr>
        <w:t>Assistance</w:t>
      </w:r>
      <w:r w:rsidRPr="00087917">
        <w:rPr>
          <w:sz w:val="24"/>
          <w:szCs w:val="24"/>
        </w:rPr>
        <w:t xml:space="preserve"> and Self-Determination Act of 1996, as amended, or NAHASDA, </w:t>
      </w:r>
      <w:r w:rsidR="001E0AE6" w:rsidRPr="00087917">
        <w:rPr>
          <w:sz w:val="24"/>
          <w:szCs w:val="24"/>
        </w:rPr>
        <w:t xml:space="preserve">establishes a block grant program, the Native Hawaiian Housing Block Grant (NHHBG),to carry out affordable housing activities for </w:t>
      </w:r>
      <w:r w:rsidR="00DD0E4E">
        <w:rPr>
          <w:sz w:val="24"/>
          <w:szCs w:val="24"/>
        </w:rPr>
        <w:t>Native Hawaiian</w:t>
      </w:r>
      <w:r w:rsidR="001E0AE6" w:rsidRPr="00087917">
        <w:rPr>
          <w:sz w:val="24"/>
          <w:szCs w:val="24"/>
        </w:rPr>
        <w:t xml:space="preserve"> families eligible to reside on Hawaiian home lands.  </w:t>
      </w:r>
      <w:r w:rsidR="00E85C23" w:rsidRPr="00087917">
        <w:rPr>
          <w:sz w:val="24"/>
          <w:szCs w:val="24"/>
        </w:rPr>
        <w:t>T</w:t>
      </w:r>
      <w:r w:rsidR="00ED5AF8" w:rsidRPr="00087917">
        <w:rPr>
          <w:sz w:val="24"/>
          <w:szCs w:val="24"/>
        </w:rPr>
        <w:t>he Department of Hawaiian Home Lands (DHHL)</w:t>
      </w:r>
      <w:r w:rsidR="001E0AE6" w:rsidRPr="00087917">
        <w:rPr>
          <w:sz w:val="24"/>
          <w:szCs w:val="24"/>
        </w:rPr>
        <w:t xml:space="preserve"> is the sole recipient of this grant and administers the NHHBG program.   </w:t>
      </w:r>
      <w:r w:rsidR="00C85E16" w:rsidRPr="00087917">
        <w:rPr>
          <w:sz w:val="24"/>
          <w:szCs w:val="24"/>
        </w:rPr>
        <w:t xml:space="preserve">DHHL is the department of government </w:t>
      </w:r>
      <w:r w:rsidR="001E0AE6" w:rsidRPr="00087917">
        <w:rPr>
          <w:sz w:val="24"/>
          <w:szCs w:val="24"/>
        </w:rPr>
        <w:t xml:space="preserve">for </w:t>
      </w:r>
      <w:r w:rsidR="00C85E16" w:rsidRPr="00087917">
        <w:rPr>
          <w:sz w:val="24"/>
          <w:szCs w:val="24"/>
        </w:rPr>
        <w:t xml:space="preserve">the </w:t>
      </w:r>
      <w:r w:rsidR="001E0AE6" w:rsidRPr="00087917">
        <w:rPr>
          <w:sz w:val="24"/>
          <w:szCs w:val="24"/>
        </w:rPr>
        <w:t xml:space="preserve">State </w:t>
      </w:r>
      <w:r w:rsidR="00C85E16" w:rsidRPr="00087917">
        <w:rPr>
          <w:sz w:val="24"/>
          <w:szCs w:val="24"/>
        </w:rPr>
        <w:t>of Hawaii responsible for the administration of the Hawaiian Homes Commission Act.</w:t>
      </w:r>
    </w:p>
    <w:p w:rsidR="00ED5AF8" w:rsidRPr="00087917" w:rsidRDefault="00ED5AF8" w:rsidP="009B7E22">
      <w:pPr>
        <w:ind w:firstLine="720"/>
        <w:rPr>
          <w:sz w:val="24"/>
          <w:szCs w:val="24"/>
        </w:rPr>
      </w:pPr>
    </w:p>
    <w:p w:rsidR="00CD3279" w:rsidRPr="00087917" w:rsidRDefault="00CD3279" w:rsidP="00CD3279">
      <w:pPr>
        <w:tabs>
          <w:tab w:val="left" w:pos="720"/>
        </w:tabs>
        <w:rPr>
          <w:sz w:val="24"/>
          <w:szCs w:val="24"/>
        </w:rPr>
      </w:pPr>
      <w:r w:rsidRPr="00087917">
        <w:rPr>
          <w:sz w:val="24"/>
          <w:szCs w:val="24"/>
        </w:rPr>
        <w:tab/>
        <w:t>To address critical housing issues such as affordability, overcrowding, structural quality, and availability, DHHL has targeted a significant amount of NHHBG funds to support:</w:t>
      </w:r>
    </w:p>
    <w:p w:rsidR="00CD3279" w:rsidRPr="00087917" w:rsidRDefault="00CD3279" w:rsidP="00CD3279">
      <w:pPr>
        <w:tabs>
          <w:tab w:val="left" w:pos="720"/>
        </w:tabs>
        <w:rPr>
          <w:sz w:val="24"/>
          <w:szCs w:val="24"/>
        </w:rPr>
      </w:pPr>
    </w:p>
    <w:p w:rsidR="00CD3279" w:rsidRPr="00087917" w:rsidRDefault="00CD3279" w:rsidP="00CD3279">
      <w:pPr>
        <w:pStyle w:val="ListParagraph"/>
        <w:numPr>
          <w:ilvl w:val="0"/>
          <w:numId w:val="23"/>
        </w:numPr>
        <w:tabs>
          <w:tab w:val="left" w:pos="720"/>
        </w:tabs>
        <w:rPr>
          <w:sz w:val="24"/>
          <w:szCs w:val="24"/>
        </w:rPr>
      </w:pPr>
      <w:r w:rsidRPr="00087917">
        <w:rPr>
          <w:sz w:val="24"/>
          <w:szCs w:val="24"/>
        </w:rPr>
        <w:t>Site improvements and infrastructure for new construction of affordable housing;</w:t>
      </w:r>
    </w:p>
    <w:p w:rsidR="00CD3279" w:rsidRPr="00087917" w:rsidRDefault="00CD3279" w:rsidP="00CD3279">
      <w:pPr>
        <w:pStyle w:val="ListParagraph"/>
        <w:numPr>
          <w:ilvl w:val="0"/>
          <w:numId w:val="23"/>
        </w:numPr>
        <w:tabs>
          <w:tab w:val="left" w:pos="720"/>
        </w:tabs>
        <w:rPr>
          <w:sz w:val="24"/>
          <w:szCs w:val="24"/>
        </w:rPr>
      </w:pPr>
      <w:r w:rsidRPr="00087917">
        <w:rPr>
          <w:sz w:val="24"/>
          <w:szCs w:val="24"/>
        </w:rPr>
        <w:t>Financial assistance for homebuyers;</w:t>
      </w:r>
    </w:p>
    <w:p w:rsidR="00CD3279" w:rsidRPr="00087917" w:rsidRDefault="00CD3279" w:rsidP="00CD3279">
      <w:pPr>
        <w:pStyle w:val="ListParagraph"/>
        <w:numPr>
          <w:ilvl w:val="0"/>
          <w:numId w:val="23"/>
        </w:numPr>
        <w:tabs>
          <w:tab w:val="left" w:pos="720"/>
        </w:tabs>
        <w:rPr>
          <w:sz w:val="24"/>
          <w:szCs w:val="24"/>
        </w:rPr>
      </w:pPr>
      <w:r w:rsidRPr="00087917">
        <w:rPr>
          <w:sz w:val="24"/>
          <w:szCs w:val="24"/>
        </w:rPr>
        <w:t>Rehabilitation of existing affordable housing units;</w:t>
      </w:r>
    </w:p>
    <w:p w:rsidR="00CD3279" w:rsidRPr="00087917" w:rsidRDefault="00CD3279" w:rsidP="00CD3279">
      <w:pPr>
        <w:pStyle w:val="ListParagraph"/>
        <w:numPr>
          <w:ilvl w:val="0"/>
          <w:numId w:val="23"/>
        </w:numPr>
        <w:tabs>
          <w:tab w:val="left" w:pos="720"/>
        </w:tabs>
        <w:rPr>
          <w:sz w:val="24"/>
          <w:szCs w:val="24"/>
        </w:rPr>
      </w:pPr>
      <w:r w:rsidRPr="00087917">
        <w:rPr>
          <w:sz w:val="24"/>
          <w:szCs w:val="24"/>
        </w:rPr>
        <w:t>Homeownership counseling; and</w:t>
      </w:r>
    </w:p>
    <w:p w:rsidR="00CD3279" w:rsidRPr="00087917" w:rsidRDefault="00CD3279" w:rsidP="00CD3279">
      <w:pPr>
        <w:pStyle w:val="ListParagraph"/>
        <w:numPr>
          <w:ilvl w:val="0"/>
          <w:numId w:val="23"/>
        </w:numPr>
        <w:tabs>
          <w:tab w:val="left" w:pos="720"/>
        </w:tabs>
        <w:rPr>
          <w:sz w:val="24"/>
          <w:szCs w:val="24"/>
        </w:rPr>
      </w:pPr>
      <w:r w:rsidRPr="00087917">
        <w:rPr>
          <w:sz w:val="24"/>
          <w:szCs w:val="24"/>
        </w:rPr>
        <w:t>Technical assistance to prepare families for home purchase and ownership.</w:t>
      </w:r>
    </w:p>
    <w:p w:rsidR="00E00E57" w:rsidRPr="00087917" w:rsidRDefault="00E00E57" w:rsidP="00C85E16">
      <w:pPr>
        <w:ind w:firstLine="720"/>
        <w:rPr>
          <w:b/>
          <w:sz w:val="24"/>
          <w:szCs w:val="24"/>
          <w:u w:val="single"/>
        </w:rPr>
      </w:pPr>
    </w:p>
    <w:p w:rsidR="00E00E57" w:rsidRPr="00087917" w:rsidRDefault="00EC03D0" w:rsidP="00E00E57">
      <w:pPr>
        <w:ind w:firstLine="90"/>
        <w:rPr>
          <w:i/>
          <w:sz w:val="24"/>
          <w:szCs w:val="24"/>
        </w:rPr>
      </w:pPr>
      <w:r w:rsidRPr="00087917">
        <w:rPr>
          <w:i/>
          <w:sz w:val="24"/>
          <w:szCs w:val="24"/>
          <w:u w:val="single"/>
        </w:rPr>
        <w:t xml:space="preserve">NHHBG </w:t>
      </w:r>
      <w:r w:rsidR="00C85E16" w:rsidRPr="00087917">
        <w:rPr>
          <w:i/>
          <w:sz w:val="24"/>
          <w:szCs w:val="24"/>
          <w:u w:val="single"/>
        </w:rPr>
        <w:t>Program Funding and Accomplishments</w:t>
      </w:r>
      <w:r w:rsidR="00C85E16" w:rsidRPr="00087917">
        <w:rPr>
          <w:i/>
          <w:sz w:val="24"/>
          <w:szCs w:val="24"/>
        </w:rPr>
        <w:t xml:space="preserve">  </w:t>
      </w:r>
    </w:p>
    <w:p w:rsidR="00E00E57" w:rsidRPr="00087917" w:rsidRDefault="00E00E57" w:rsidP="00C85E16">
      <w:pPr>
        <w:ind w:firstLine="720"/>
        <w:rPr>
          <w:sz w:val="24"/>
          <w:szCs w:val="24"/>
        </w:rPr>
      </w:pPr>
    </w:p>
    <w:p w:rsidR="00C85E16" w:rsidRPr="00087917" w:rsidRDefault="00C85E16" w:rsidP="00C85E16">
      <w:pPr>
        <w:ind w:firstLine="720"/>
        <w:rPr>
          <w:sz w:val="24"/>
          <w:szCs w:val="24"/>
        </w:rPr>
      </w:pPr>
      <w:r w:rsidRPr="00087917">
        <w:rPr>
          <w:sz w:val="24"/>
          <w:szCs w:val="24"/>
        </w:rPr>
        <w:t>The first NHHB</w:t>
      </w:r>
      <w:r w:rsidR="0057547F" w:rsidRPr="00087917">
        <w:rPr>
          <w:sz w:val="24"/>
          <w:szCs w:val="24"/>
        </w:rPr>
        <w:t>G</w:t>
      </w:r>
      <w:r w:rsidRPr="00087917">
        <w:rPr>
          <w:sz w:val="24"/>
          <w:szCs w:val="24"/>
        </w:rPr>
        <w:t xml:space="preserve"> grant was awarded in FY 2002 for $9.6</w:t>
      </w:r>
      <w:r w:rsidR="00083639" w:rsidRPr="00087917">
        <w:rPr>
          <w:sz w:val="24"/>
          <w:szCs w:val="24"/>
        </w:rPr>
        <w:t> </w:t>
      </w:r>
      <w:r w:rsidRPr="00087917">
        <w:rPr>
          <w:sz w:val="24"/>
          <w:szCs w:val="24"/>
        </w:rPr>
        <w:t xml:space="preserve">million.  </w:t>
      </w:r>
      <w:r w:rsidR="00CD3279" w:rsidRPr="00087917">
        <w:rPr>
          <w:sz w:val="24"/>
          <w:szCs w:val="24"/>
        </w:rPr>
        <w:t>Over the last ten years, NHHBG grants have</w:t>
      </w:r>
      <w:r w:rsidRPr="00087917">
        <w:rPr>
          <w:sz w:val="24"/>
          <w:szCs w:val="24"/>
        </w:rPr>
        <w:t xml:space="preserve"> ranged from $8.3</w:t>
      </w:r>
      <w:r w:rsidR="00083639" w:rsidRPr="00087917">
        <w:rPr>
          <w:sz w:val="24"/>
          <w:szCs w:val="24"/>
        </w:rPr>
        <w:t> </w:t>
      </w:r>
      <w:r w:rsidRPr="00087917">
        <w:rPr>
          <w:sz w:val="24"/>
          <w:szCs w:val="24"/>
        </w:rPr>
        <w:t>million in FYs</w:t>
      </w:r>
      <w:r w:rsidR="00083639" w:rsidRPr="00087917">
        <w:rPr>
          <w:sz w:val="24"/>
          <w:szCs w:val="24"/>
        </w:rPr>
        <w:t> </w:t>
      </w:r>
      <w:r w:rsidRPr="00087917">
        <w:rPr>
          <w:sz w:val="24"/>
          <w:szCs w:val="24"/>
        </w:rPr>
        <w:t>2006 and 2007 to a high of $12.7 million in FYs</w:t>
      </w:r>
      <w:r w:rsidR="00083639" w:rsidRPr="00087917">
        <w:rPr>
          <w:sz w:val="24"/>
          <w:szCs w:val="24"/>
        </w:rPr>
        <w:t> </w:t>
      </w:r>
      <w:r w:rsidRPr="00087917">
        <w:rPr>
          <w:sz w:val="24"/>
          <w:szCs w:val="24"/>
        </w:rPr>
        <w:t xml:space="preserve">2010 and 2012. </w:t>
      </w:r>
    </w:p>
    <w:p w:rsidR="00C85E16" w:rsidRPr="00087917" w:rsidRDefault="00C85E16" w:rsidP="00CD3279">
      <w:pPr>
        <w:tabs>
          <w:tab w:val="left" w:pos="720"/>
        </w:tabs>
        <w:rPr>
          <w:sz w:val="24"/>
          <w:szCs w:val="24"/>
        </w:rPr>
      </w:pPr>
    </w:p>
    <w:p w:rsidR="00E85C23" w:rsidRPr="00087917" w:rsidRDefault="00E85C23" w:rsidP="00E85C23">
      <w:pPr>
        <w:ind w:firstLine="720"/>
        <w:rPr>
          <w:sz w:val="24"/>
          <w:szCs w:val="24"/>
        </w:rPr>
      </w:pPr>
      <w:r w:rsidRPr="00087917">
        <w:rPr>
          <w:sz w:val="24"/>
          <w:szCs w:val="24"/>
        </w:rPr>
        <w:t xml:space="preserve">In the last </w:t>
      </w:r>
      <w:r w:rsidR="00EE3C0E" w:rsidRPr="00087917">
        <w:rPr>
          <w:sz w:val="24"/>
          <w:szCs w:val="24"/>
        </w:rPr>
        <w:t>seven</w:t>
      </w:r>
      <w:r w:rsidRPr="00087917">
        <w:rPr>
          <w:sz w:val="24"/>
          <w:szCs w:val="24"/>
        </w:rPr>
        <w:t xml:space="preserve"> years, 461 affordable homes have been built, acquired, or rehabbed with NHHBG funds, and the program has provided the basic, critical infrastructure to support new construction throughout the Hawaiian home lands.  In addition, the program has provided training and technical assistance to community housing providers, lenders, and low-income residents, including 233 </w:t>
      </w:r>
      <w:r w:rsidR="00DD0E4E">
        <w:rPr>
          <w:sz w:val="24"/>
          <w:szCs w:val="24"/>
        </w:rPr>
        <w:t>Native Hawaiian</w:t>
      </w:r>
      <w:r w:rsidRPr="00087917">
        <w:rPr>
          <w:sz w:val="24"/>
          <w:szCs w:val="24"/>
        </w:rPr>
        <w:t xml:space="preserve"> families trained just last year in self-help home repair, financial literacy, and home buying.</w:t>
      </w:r>
      <w:r w:rsidR="00087917">
        <w:rPr>
          <w:sz w:val="24"/>
          <w:szCs w:val="24"/>
        </w:rPr>
        <w:t xml:space="preserve"> Over 840 families have participated in training over the life</w:t>
      </w:r>
      <w:r w:rsidR="00EE3620">
        <w:rPr>
          <w:sz w:val="24"/>
          <w:szCs w:val="24"/>
        </w:rPr>
        <w:t xml:space="preserve"> </w:t>
      </w:r>
      <w:r w:rsidR="00087917">
        <w:rPr>
          <w:sz w:val="24"/>
          <w:szCs w:val="24"/>
        </w:rPr>
        <w:t xml:space="preserve">of the program. </w:t>
      </w:r>
    </w:p>
    <w:p w:rsidR="00E00E57" w:rsidRPr="00087917" w:rsidRDefault="00E00E57" w:rsidP="00CD3279">
      <w:pPr>
        <w:tabs>
          <w:tab w:val="left" w:pos="720"/>
        </w:tabs>
        <w:rPr>
          <w:sz w:val="24"/>
          <w:szCs w:val="24"/>
        </w:rPr>
      </w:pPr>
    </w:p>
    <w:p w:rsidR="00375A1E" w:rsidRPr="00087917" w:rsidRDefault="00375A1E" w:rsidP="00375A1E">
      <w:pPr>
        <w:tabs>
          <w:tab w:val="left" w:pos="720"/>
        </w:tabs>
        <w:rPr>
          <w:sz w:val="24"/>
          <w:szCs w:val="24"/>
        </w:rPr>
      </w:pPr>
      <w:r w:rsidRPr="00087917">
        <w:rPr>
          <w:sz w:val="24"/>
          <w:szCs w:val="24"/>
        </w:rPr>
        <w:tab/>
        <w:t xml:space="preserve">DHHL </w:t>
      </w:r>
      <w:r w:rsidR="00E00E57" w:rsidRPr="00087917">
        <w:rPr>
          <w:sz w:val="24"/>
          <w:szCs w:val="24"/>
        </w:rPr>
        <w:t>works</w:t>
      </w:r>
      <w:r w:rsidRPr="00087917">
        <w:rPr>
          <w:sz w:val="24"/>
          <w:szCs w:val="24"/>
        </w:rPr>
        <w:t xml:space="preserve"> with </w:t>
      </w:r>
      <w:r w:rsidR="00DD0E4E">
        <w:rPr>
          <w:sz w:val="24"/>
          <w:szCs w:val="24"/>
        </w:rPr>
        <w:t>Native Hawaiian</w:t>
      </w:r>
      <w:r w:rsidRPr="00087917">
        <w:rPr>
          <w:sz w:val="24"/>
          <w:szCs w:val="24"/>
        </w:rPr>
        <w:t xml:space="preserve"> organizations, civic groups, and service agencies in the public, private, and government sectors.  </w:t>
      </w:r>
      <w:r w:rsidR="00E00E57" w:rsidRPr="00087917">
        <w:rPr>
          <w:sz w:val="24"/>
          <w:szCs w:val="24"/>
        </w:rPr>
        <w:t xml:space="preserve">DHHL’s housing and community development partners </w:t>
      </w:r>
      <w:r w:rsidR="008750D0" w:rsidRPr="00087917">
        <w:rPr>
          <w:sz w:val="24"/>
          <w:szCs w:val="24"/>
        </w:rPr>
        <w:t>include:</w:t>
      </w:r>
      <w:r w:rsidR="00E00E57" w:rsidRPr="00087917">
        <w:rPr>
          <w:sz w:val="24"/>
          <w:szCs w:val="24"/>
        </w:rPr>
        <w:t xml:space="preserve"> Habitat for Humanity</w:t>
      </w:r>
      <w:r w:rsidR="008750D0" w:rsidRPr="00087917">
        <w:rPr>
          <w:sz w:val="24"/>
          <w:szCs w:val="24"/>
        </w:rPr>
        <w:t xml:space="preserve">, </w:t>
      </w:r>
      <w:r w:rsidR="00E00E57" w:rsidRPr="00087917">
        <w:rPr>
          <w:sz w:val="24"/>
          <w:szCs w:val="24"/>
        </w:rPr>
        <w:t>the Council for Native Hawaiian Advancement</w:t>
      </w:r>
      <w:r w:rsidR="008750D0" w:rsidRPr="00087917">
        <w:rPr>
          <w:sz w:val="24"/>
          <w:szCs w:val="24"/>
        </w:rPr>
        <w:t xml:space="preserve">, </w:t>
      </w:r>
      <w:r w:rsidR="00E00E57" w:rsidRPr="00087917">
        <w:rPr>
          <w:sz w:val="24"/>
          <w:szCs w:val="24"/>
        </w:rPr>
        <w:t xml:space="preserve">USDA Rural Development and </w:t>
      </w:r>
      <w:r w:rsidR="008750D0" w:rsidRPr="00087917">
        <w:rPr>
          <w:sz w:val="24"/>
          <w:szCs w:val="24"/>
        </w:rPr>
        <w:t xml:space="preserve">the </w:t>
      </w:r>
      <w:r w:rsidR="00E00E57" w:rsidRPr="00087917">
        <w:rPr>
          <w:sz w:val="24"/>
          <w:szCs w:val="24"/>
        </w:rPr>
        <w:t xml:space="preserve">County of Hawaii. </w:t>
      </w:r>
    </w:p>
    <w:p w:rsidR="00375A1E" w:rsidRPr="00087917" w:rsidRDefault="00375A1E" w:rsidP="00375A1E">
      <w:pPr>
        <w:tabs>
          <w:tab w:val="left" w:pos="720"/>
        </w:tabs>
        <w:rPr>
          <w:sz w:val="24"/>
          <w:szCs w:val="24"/>
        </w:rPr>
      </w:pPr>
    </w:p>
    <w:p w:rsidR="00E00E57" w:rsidRPr="00087917" w:rsidRDefault="00375A1E" w:rsidP="0057547F">
      <w:pPr>
        <w:ind w:firstLine="720"/>
        <w:rPr>
          <w:sz w:val="24"/>
          <w:szCs w:val="24"/>
        </w:rPr>
      </w:pPr>
      <w:r w:rsidRPr="00087917">
        <w:rPr>
          <w:sz w:val="24"/>
          <w:szCs w:val="24"/>
        </w:rPr>
        <w:t xml:space="preserve">Most of DHHL’s affordable housing projects are </w:t>
      </w:r>
      <w:r w:rsidR="00E00E57" w:rsidRPr="00087917">
        <w:rPr>
          <w:sz w:val="24"/>
          <w:szCs w:val="24"/>
        </w:rPr>
        <w:t xml:space="preserve">developed </w:t>
      </w:r>
      <w:r w:rsidRPr="00087917">
        <w:rPr>
          <w:sz w:val="24"/>
          <w:szCs w:val="24"/>
        </w:rPr>
        <w:t xml:space="preserve">over several years.  </w:t>
      </w:r>
      <w:r w:rsidR="00E00E57" w:rsidRPr="00087917">
        <w:rPr>
          <w:sz w:val="24"/>
          <w:szCs w:val="24"/>
        </w:rPr>
        <w:t xml:space="preserve">Currently, there are </w:t>
      </w:r>
      <w:r w:rsidR="0057547F" w:rsidRPr="00087917">
        <w:rPr>
          <w:sz w:val="24"/>
          <w:szCs w:val="24"/>
        </w:rPr>
        <w:t xml:space="preserve">six NHHBG-funded housing projects </w:t>
      </w:r>
      <w:r w:rsidR="00E00E57" w:rsidRPr="00087917">
        <w:rPr>
          <w:sz w:val="24"/>
          <w:szCs w:val="24"/>
        </w:rPr>
        <w:t xml:space="preserve">in progress, all of which are </w:t>
      </w:r>
      <w:r w:rsidR="0057547F" w:rsidRPr="00087917">
        <w:rPr>
          <w:sz w:val="24"/>
          <w:szCs w:val="24"/>
        </w:rPr>
        <w:t>at various stages of development, from design, to infrastructure installation, to home construction</w:t>
      </w:r>
      <w:r w:rsidR="00E00E57" w:rsidRPr="00087917">
        <w:rPr>
          <w:sz w:val="24"/>
          <w:szCs w:val="24"/>
        </w:rPr>
        <w:t xml:space="preserve">.  </w:t>
      </w:r>
    </w:p>
    <w:p w:rsidR="00E00E57" w:rsidRPr="00087917" w:rsidRDefault="00E00E57" w:rsidP="00E00E57">
      <w:pPr>
        <w:rPr>
          <w:sz w:val="24"/>
          <w:szCs w:val="24"/>
        </w:rPr>
      </w:pPr>
    </w:p>
    <w:p w:rsidR="0057547F" w:rsidRPr="00087917" w:rsidRDefault="00116D57" w:rsidP="00E00E57">
      <w:pPr>
        <w:rPr>
          <w:sz w:val="24"/>
          <w:szCs w:val="24"/>
        </w:rPr>
      </w:pPr>
      <w:r w:rsidRPr="00087917">
        <w:rPr>
          <w:sz w:val="24"/>
          <w:szCs w:val="24"/>
        </w:rPr>
        <w:t>Here are a few examples</w:t>
      </w:r>
      <w:r w:rsidR="0057547F" w:rsidRPr="00087917">
        <w:rPr>
          <w:sz w:val="24"/>
          <w:szCs w:val="24"/>
        </w:rPr>
        <w:t xml:space="preserve">:  </w:t>
      </w:r>
    </w:p>
    <w:p w:rsidR="0057547F" w:rsidRPr="00087917" w:rsidRDefault="0057547F" w:rsidP="0057547F">
      <w:pPr>
        <w:ind w:firstLine="720"/>
        <w:rPr>
          <w:sz w:val="24"/>
          <w:szCs w:val="24"/>
        </w:rPr>
      </w:pPr>
    </w:p>
    <w:p w:rsidR="000D172A" w:rsidRPr="00087917" w:rsidRDefault="00396656" w:rsidP="000D172A">
      <w:pPr>
        <w:rPr>
          <w:i/>
          <w:sz w:val="24"/>
          <w:szCs w:val="24"/>
        </w:rPr>
      </w:pPr>
      <w:r w:rsidRPr="00087917">
        <w:rPr>
          <w:i/>
          <w:sz w:val="24"/>
          <w:szCs w:val="24"/>
        </w:rPr>
        <w:t>Kumuhau and Kakaina Subdivisions</w:t>
      </w:r>
    </w:p>
    <w:p w:rsidR="00396656" w:rsidRPr="00087917" w:rsidRDefault="00396656" w:rsidP="00C444E7">
      <w:pPr>
        <w:ind w:firstLine="720"/>
        <w:rPr>
          <w:sz w:val="24"/>
          <w:szCs w:val="24"/>
        </w:rPr>
      </w:pPr>
      <w:r w:rsidRPr="00087917">
        <w:rPr>
          <w:sz w:val="24"/>
          <w:szCs w:val="24"/>
        </w:rPr>
        <w:t>One hundred single-family homes are planned for construction on a 16-acre parcel in Waimanalo on the island of Oahu, of which, 28 lots are reserved for NHHBG-eligible families.</w:t>
      </w:r>
    </w:p>
    <w:p w:rsidR="00396656" w:rsidRPr="00087917" w:rsidRDefault="00396656" w:rsidP="00396656">
      <w:pPr>
        <w:ind w:firstLine="720"/>
        <w:rPr>
          <w:sz w:val="24"/>
          <w:szCs w:val="24"/>
        </w:rPr>
      </w:pPr>
    </w:p>
    <w:p w:rsidR="000D172A" w:rsidRPr="00087917" w:rsidRDefault="00396656" w:rsidP="008B5900">
      <w:pPr>
        <w:pStyle w:val="ListParagraph"/>
        <w:numPr>
          <w:ilvl w:val="0"/>
          <w:numId w:val="25"/>
        </w:numPr>
        <w:rPr>
          <w:sz w:val="24"/>
          <w:szCs w:val="24"/>
        </w:rPr>
      </w:pPr>
      <w:r w:rsidRPr="00087917">
        <w:rPr>
          <w:sz w:val="24"/>
          <w:szCs w:val="24"/>
        </w:rPr>
        <w:t>$1.4 million in FY 2006 and $50,000 in FY 2007 NHHBG funds was used for on- and off-site infrastructure construction for the Kumuhau subdivision.  Approximately 18 of the 52 lots</w:t>
      </w:r>
      <w:r w:rsidR="00C444E7" w:rsidRPr="00087917">
        <w:rPr>
          <w:sz w:val="24"/>
          <w:szCs w:val="24"/>
        </w:rPr>
        <w:t xml:space="preserve"> (45 turnkey and 7 self-help lots)</w:t>
      </w:r>
      <w:r w:rsidRPr="00087917">
        <w:rPr>
          <w:sz w:val="24"/>
          <w:szCs w:val="24"/>
        </w:rPr>
        <w:t xml:space="preserve"> are reserved for NHHBG-eligible families.</w:t>
      </w:r>
    </w:p>
    <w:p w:rsidR="000D172A" w:rsidRPr="00087917" w:rsidRDefault="00396656" w:rsidP="008B5900">
      <w:pPr>
        <w:pStyle w:val="ListParagraph"/>
        <w:numPr>
          <w:ilvl w:val="0"/>
          <w:numId w:val="25"/>
        </w:numPr>
        <w:rPr>
          <w:sz w:val="24"/>
          <w:szCs w:val="24"/>
        </w:rPr>
      </w:pPr>
      <w:r w:rsidRPr="00087917">
        <w:rPr>
          <w:sz w:val="24"/>
          <w:szCs w:val="24"/>
        </w:rPr>
        <w:t>As of September 30, 2011, site work for Kumuhau was complete.  The construction of 45 turnkey homes was underway, 22 of which were complete.  Of the 22 completed homes, 3 were for NHHBG-eligible families.</w:t>
      </w:r>
    </w:p>
    <w:p w:rsidR="000D172A" w:rsidRPr="00087917" w:rsidRDefault="00396656" w:rsidP="008B5900">
      <w:pPr>
        <w:pStyle w:val="ListParagraph"/>
        <w:numPr>
          <w:ilvl w:val="0"/>
          <w:numId w:val="25"/>
        </w:numPr>
        <w:rPr>
          <w:sz w:val="24"/>
          <w:szCs w:val="24"/>
        </w:rPr>
      </w:pPr>
      <w:r w:rsidRPr="00087917">
        <w:rPr>
          <w:sz w:val="24"/>
          <w:szCs w:val="24"/>
        </w:rPr>
        <w:t xml:space="preserve">The </w:t>
      </w:r>
      <w:proofErr w:type="spellStart"/>
      <w:r w:rsidRPr="00087917">
        <w:rPr>
          <w:sz w:val="24"/>
          <w:szCs w:val="24"/>
        </w:rPr>
        <w:t>Kakaina</w:t>
      </w:r>
      <w:proofErr w:type="spellEnd"/>
      <w:r w:rsidRPr="00087917">
        <w:rPr>
          <w:sz w:val="24"/>
          <w:szCs w:val="24"/>
        </w:rPr>
        <w:t xml:space="preserve"> subdivision consists of 44 lots.  </w:t>
      </w:r>
      <w:r w:rsidR="00B832E0" w:rsidRPr="00087917">
        <w:rPr>
          <w:sz w:val="24"/>
          <w:szCs w:val="24"/>
        </w:rPr>
        <w:t xml:space="preserve">This project is in the infrastructure phase.  </w:t>
      </w:r>
      <w:r w:rsidRPr="00087917">
        <w:rPr>
          <w:sz w:val="24"/>
          <w:szCs w:val="24"/>
        </w:rPr>
        <w:t xml:space="preserve">Approximately 10 of the 44 lots will </w:t>
      </w:r>
      <w:r w:rsidR="00C444E7" w:rsidRPr="00087917">
        <w:rPr>
          <w:sz w:val="24"/>
          <w:szCs w:val="24"/>
        </w:rPr>
        <w:t>be for NHHBG-eligible families.</w:t>
      </w:r>
    </w:p>
    <w:p w:rsidR="00396656" w:rsidRPr="00087917" w:rsidRDefault="00396656" w:rsidP="00396656">
      <w:pPr>
        <w:ind w:firstLine="720"/>
        <w:rPr>
          <w:sz w:val="24"/>
          <w:szCs w:val="24"/>
        </w:rPr>
      </w:pPr>
    </w:p>
    <w:p w:rsidR="000D172A" w:rsidRPr="00087917" w:rsidRDefault="00396656" w:rsidP="000D172A">
      <w:pPr>
        <w:rPr>
          <w:i/>
          <w:sz w:val="24"/>
          <w:szCs w:val="24"/>
        </w:rPr>
      </w:pPr>
      <w:r w:rsidRPr="00087917">
        <w:rPr>
          <w:i/>
          <w:sz w:val="24"/>
          <w:szCs w:val="24"/>
        </w:rPr>
        <w:t>East Kapolei I</w:t>
      </w:r>
      <w:r w:rsidR="00C444E7" w:rsidRPr="00087917">
        <w:rPr>
          <w:i/>
          <w:sz w:val="24"/>
          <w:szCs w:val="24"/>
        </w:rPr>
        <w:t xml:space="preserve"> (Kanehili)</w:t>
      </w:r>
    </w:p>
    <w:p w:rsidR="00396656" w:rsidRPr="00087917" w:rsidRDefault="00396656" w:rsidP="00C444E7">
      <w:pPr>
        <w:ind w:firstLine="720"/>
        <w:rPr>
          <w:sz w:val="24"/>
          <w:szCs w:val="24"/>
        </w:rPr>
      </w:pPr>
      <w:r w:rsidRPr="00087917">
        <w:rPr>
          <w:sz w:val="24"/>
          <w:szCs w:val="24"/>
        </w:rPr>
        <w:t>This project consists of the development of 400 single-family homes on a 92-acre parcel in Kapolei on the island of Oahu; approximately 72 of the homes will be for NHHBG-eligible families.</w:t>
      </w:r>
    </w:p>
    <w:p w:rsidR="00396656" w:rsidRPr="00087917" w:rsidRDefault="00396656" w:rsidP="00396656">
      <w:pPr>
        <w:ind w:firstLine="720"/>
        <w:rPr>
          <w:sz w:val="24"/>
          <w:szCs w:val="24"/>
        </w:rPr>
      </w:pPr>
    </w:p>
    <w:p w:rsidR="000D172A" w:rsidRPr="00087917" w:rsidRDefault="00396656" w:rsidP="008B5900">
      <w:pPr>
        <w:pStyle w:val="ListParagraph"/>
        <w:numPr>
          <w:ilvl w:val="0"/>
          <w:numId w:val="25"/>
        </w:numPr>
        <w:rPr>
          <w:sz w:val="24"/>
          <w:szCs w:val="24"/>
        </w:rPr>
      </w:pPr>
      <w:r w:rsidRPr="00087917">
        <w:rPr>
          <w:sz w:val="24"/>
          <w:szCs w:val="24"/>
        </w:rPr>
        <w:t>$447,300 in FY 2002 NHHBG funds was applied toward the total cost of $2.5 million for project engineering and design, which was completed in March 2007.</w:t>
      </w:r>
    </w:p>
    <w:p w:rsidR="000D172A" w:rsidRPr="00087917" w:rsidRDefault="00396656" w:rsidP="008B5900">
      <w:pPr>
        <w:pStyle w:val="ListParagraph"/>
        <w:numPr>
          <w:ilvl w:val="0"/>
          <w:numId w:val="25"/>
        </w:numPr>
        <w:rPr>
          <w:sz w:val="24"/>
          <w:szCs w:val="24"/>
        </w:rPr>
      </w:pPr>
      <w:r w:rsidRPr="00087917">
        <w:rPr>
          <w:sz w:val="24"/>
          <w:szCs w:val="24"/>
        </w:rPr>
        <w:t xml:space="preserve">$1.7 million in FY 2006 NHHBG funds was used, in combination with DHHL trust funds, to pay for approximately 18 percent of the cost for mass grading and on- and off-site infrastructure construction in </w:t>
      </w:r>
      <w:r w:rsidR="00083639" w:rsidRPr="00087917">
        <w:rPr>
          <w:sz w:val="24"/>
          <w:szCs w:val="24"/>
        </w:rPr>
        <w:t xml:space="preserve">increment I </w:t>
      </w:r>
      <w:r w:rsidR="00C444E7" w:rsidRPr="00087917">
        <w:rPr>
          <w:sz w:val="24"/>
          <w:szCs w:val="24"/>
        </w:rPr>
        <w:t>of the</w:t>
      </w:r>
      <w:r w:rsidRPr="00087917">
        <w:rPr>
          <w:sz w:val="24"/>
          <w:szCs w:val="24"/>
        </w:rPr>
        <w:t xml:space="preserve"> subdivision.</w:t>
      </w:r>
    </w:p>
    <w:p w:rsidR="000D172A" w:rsidRPr="00087917" w:rsidRDefault="00396656" w:rsidP="008B5900">
      <w:pPr>
        <w:pStyle w:val="ListParagraph"/>
        <w:numPr>
          <w:ilvl w:val="0"/>
          <w:numId w:val="25"/>
        </w:numPr>
        <w:rPr>
          <w:sz w:val="24"/>
          <w:szCs w:val="24"/>
        </w:rPr>
      </w:pPr>
      <w:r w:rsidRPr="00087917">
        <w:rPr>
          <w:sz w:val="24"/>
          <w:szCs w:val="24"/>
        </w:rPr>
        <w:t>As of September 30, 2011,</w:t>
      </w:r>
      <w:r w:rsidR="00EC03D0" w:rsidRPr="00087917">
        <w:rPr>
          <w:sz w:val="24"/>
          <w:szCs w:val="24"/>
        </w:rPr>
        <w:t xml:space="preserve"> </w:t>
      </w:r>
      <w:r w:rsidRPr="00087917">
        <w:rPr>
          <w:sz w:val="24"/>
          <w:szCs w:val="24"/>
        </w:rPr>
        <w:t>site work was complete for increment I phases 1 through 4, which includes 286 lots.  House construction in increment I was ongoing, with 250 homes completed and occupied and another 30 homes under construction.</w:t>
      </w:r>
    </w:p>
    <w:p w:rsidR="00396656" w:rsidRPr="00087917" w:rsidRDefault="00396656" w:rsidP="0057547F">
      <w:pPr>
        <w:ind w:firstLine="720"/>
        <w:rPr>
          <w:sz w:val="24"/>
          <w:szCs w:val="24"/>
        </w:rPr>
      </w:pPr>
    </w:p>
    <w:p w:rsidR="000D172A" w:rsidRPr="00087917" w:rsidRDefault="00396656" w:rsidP="000D172A">
      <w:pPr>
        <w:rPr>
          <w:i/>
          <w:sz w:val="24"/>
          <w:szCs w:val="24"/>
        </w:rPr>
      </w:pPr>
      <w:r w:rsidRPr="00087917">
        <w:rPr>
          <w:i/>
          <w:sz w:val="24"/>
          <w:szCs w:val="24"/>
        </w:rPr>
        <w:t>Laiopua Villages 4 and 5</w:t>
      </w:r>
    </w:p>
    <w:p w:rsidR="00396656" w:rsidRPr="00087917" w:rsidRDefault="00396656" w:rsidP="00C444E7">
      <w:pPr>
        <w:ind w:firstLine="720"/>
        <w:rPr>
          <w:sz w:val="24"/>
          <w:szCs w:val="24"/>
        </w:rPr>
      </w:pPr>
      <w:r w:rsidRPr="00087917">
        <w:rPr>
          <w:sz w:val="24"/>
          <w:szCs w:val="24"/>
        </w:rPr>
        <w:t>Approximately 360 single-family homes are planned for construction on 2 parcels totaling 86 acres at Kealakehe in North Kona on the island of Hawaii.  The homes are allocated between Village 4 (243) and Village 5 (117) of Laiopua.  Seventy-two lots are reserved for NHHBG-eligible families.</w:t>
      </w:r>
    </w:p>
    <w:p w:rsidR="00396656" w:rsidRPr="00087917" w:rsidRDefault="00396656" w:rsidP="00396656">
      <w:pPr>
        <w:ind w:firstLine="720"/>
        <w:rPr>
          <w:sz w:val="24"/>
          <w:szCs w:val="24"/>
        </w:rPr>
      </w:pPr>
    </w:p>
    <w:p w:rsidR="000D172A" w:rsidRPr="00087917" w:rsidRDefault="00396656" w:rsidP="008B5900">
      <w:pPr>
        <w:pStyle w:val="ListParagraph"/>
        <w:numPr>
          <w:ilvl w:val="0"/>
          <w:numId w:val="25"/>
        </w:numPr>
        <w:rPr>
          <w:sz w:val="24"/>
          <w:szCs w:val="24"/>
        </w:rPr>
      </w:pPr>
      <w:r w:rsidRPr="00087917">
        <w:rPr>
          <w:sz w:val="24"/>
          <w:szCs w:val="24"/>
        </w:rPr>
        <w:t>$3.8 million in FY 2003, 2004, 2005, and 2006 NHHBG funds was used for mass grading.  Additional NHHBG funding will be used for infrastructure construction, house construction loans, or down payment assistance grants, and self-help technical assistance.</w:t>
      </w:r>
    </w:p>
    <w:p w:rsidR="000D172A" w:rsidRPr="00087917" w:rsidRDefault="00396656" w:rsidP="008B5900">
      <w:pPr>
        <w:pStyle w:val="ListParagraph"/>
        <w:numPr>
          <w:ilvl w:val="0"/>
          <w:numId w:val="25"/>
        </w:numPr>
        <w:rPr>
          <w:sz w:val="24"/>
          <w:szCs w:val="24"/>
        </w:rPr>
      </w:pPr>
      <w:r w:rsidRPr="00087917">
        <w:rPr>
          <w:sz w:val="24"/>
          <w:szCs w:val="24"/>
        </w:rPr>
        <w:t xml:space="preserve">$1.2 million in FY </w:t>
      </w:r>
      <w:r w:rsidR="002F1C54" w:rsidRPr="00087917">
        <w:rPr>
          <w:sz w:val="24"/>
          <w:szCs w:val="24"/>
        </w:rPr>
        <w:t>2006</w:t>
      </w:r>
      <w:r w:rsidRPr="00087917">
        <w:rPr>
          <w:sz w:val="24"/>
          <w:szCs w:val="24"/>
        </w:rPr>
        <w:t xml:space="preserve"> and 2007 and 2008 NHHBG funds is being used to install streets, sewer and utilities for Village</w:t>
      </w:r>
      <w:r w:rsidR="00D7141F" w:rsidRPr="00087917">
        <w:rPr>
          <w:sz w:val="24"/>
          <w:szCs w:val="24"/>
        </w:rPr>
        <w:t> </w:t>
      </w:r>
      <w:r w:rsidRPr="00087917">
        <w:rPr>
          <w:sz w:val="24"/>
          <w:szCs w:val="24"/>
        </w:rPr>
        <w:t>5.</w:t>
      </w:r>
    </w:p>
    <w:p w:rsidR="000D172A" w:rsidRPr="00087917" w:rsidRDefault="00396656" w:rsidP="008B5900">
      <w:pPr>
        <w:pStyle w:val="ListParagraph"/>
        <w:numPr>
          <w:ilvl w:val="0"/>
          <w:numId w:val="25"/>
        </w:numPr>
        <w:rPr>
          <w:sz w:val="24"/>
          <w:szCs w:val="24"/>
        </w:rPr>
      </w:pPr>
      <w:r w:rsidRPr="00087917">
        <w:rPr>
          <w:sz w:val="24"/>
          <w:szCs w:val="24"/>
        </w:rPr>
        <w:t>As of September 30, 2011, mass grading work was complete for Village 5 and Village 4.  Installation of streets, sewer and utilities was 95 percent complete for Village 5.  House construction for 45 homes in Village 5 was underway.  Village 4 was in the design phase.</w:t>
      </w:r>
    </w:p>
    <w:p w:rsidR="00396656" w:rsidRPr="00087917" w:rsidRDefault="00396656" w:rsidP="0057547F">
      <w:pPr>
        <w:ind w:firstLine="720"/>
        <w:rPr>
          <w:sz w:val="24"/>
          <w:szCs w:val="24"/>
        </w:rPr>
      </w:pPr>
    </w:p>
    <w:p w:rsidR="000D172A" w:rsidRPr="00087917" w:rsidRDefault="00396656" w:rsidP="00E00E57">
      <w:pPr>
        <w:overflowPunct/>
        <w:autoSpaceDE/>
        <w:autoSpaceDN/>
        <w:adjustRightInd/>
        <w:textAlignment w:val="auto"/>
        <w:rPr>
          <w:i/>
          <w:sz w:val="24"/>
          <w:szCs w:val="24"/>
        </w:rPr>
      </w:pPr>
      <w:r w:rsidRPr="00087917">
        <w:rPr>
          <w:i/>
          <w:sz w:val="24"/>
          <w:szCs w:val="24"/>
        </w:rPr>
        <w:t>East Kapolei II</w:t>
      </w:r>
    </w:p>
    <w:p w:rsidR="00396656" w:rsidRPr="00087917" w:rsidRDefault="00396656" w:rsidP="00C444E7">
      <w:pPr>
        <w:ind w:firstLine="720"/>
        <w:rPr>
          <w:sz w:val="24"/>
          <w:szCs w:val="24"/>
        </w:rPr>
      </w:pPr>
      <w:r w:rsidRPr="00087917">
        <w:rPr>
          <w:sz w:val="24"/>
          <w:szCs w:val="24"/>
        </w:rPr>
        <w:t>A total of 1,000 single-family residential lots are planned for construction on a 374-acre parcel in Kapolei on the island of Oahu, of which, approximately 200 lots will be reserved for NHHBG-eligible families.</w:t>
      </w:r>
    </w:p>
    <w:p w:rsidR="00396656" w:rsidRPr="00087917" w:rsidRDefault="00396656" w:rsidP="00396656">
      <w:pPr>
        <w:ind w:firstLine="720"/>
        <w:rPr>
          <w:sz w:val="24"/>
          <w:szCs w:val="24"/>
        </w:rPr>
      </w:pPr>
    </w:p>
    <w:p w:rsidR="000D172A" w:rsidRPr="00087917" w:rsidRDefault="00396656" w:rsidP="008B5900">
      <w:pPr>
        <w:pStyle w:val="ListParagraph"/>
        <w:numPr>
          <w:ilvl w:val="0"/>
          <w:numId w:val="25"/>
        </w:numPr>
        <w:rPr>
          <w:sz w:val="24"/>
          <w:szCs w:val="24"/>
        </w:rPr>
      </w:pPr>
      <w:r w:rsidRPr="00087917">
        <w:rPr>
          <w:sz w:val="24"/>
          <w:szCs w:val="24"/>
        </w:rPr>
        <w:t>$53.9 million in FY 2007 and other NHHBG funds are planned to be used in combination with DHHL trust funds for on- and off-site infrastructure construction, consultant services, including engineers and architects, house construction loans or down payment assistance grants, self-help technical assistance, and utility fees.</w:t>
      </w:r>
    </w:p>
    <w:p w:rsidR="000D172A" w:rsidRPr="00087917" w:rsidRDefault="00396656" w:rsidP="008B5900">
      <w:pPr>
        <w:pStyle w:val="ListParagraph"/>
        <w:numPr>
          <w:ilvl w:val="0"/>
          <w:numId w:val="25"/>
        </w:numPr>
        <w:rPr>
          <w:sz w:val="24"/>
          <w:szCs w:val="24"/>
        </w:rPr>
      </w:pPr>
      <w:r w:rsidRPr="00087917">
        <w:rPr>
          <w:sz w:val="24"/>
          <w:szCs w:val="24"/>
        </w:rPr>
        <w:t>$3 million was used in FY 2010 to complete off-site sewer and drainage work.</w:t>
      </w:r>
    </w:p>
    <w:p w:rsidR="000D172A" w:rsidRPr="00087917" w:rsidRDefault="00396656" w:rsidP="008B5900">
      <w:pPr>
        <w:pStyle w:val="ListParagraph"/>
        <w:numPr>
          <w:ilvl w:val="0"/>
          <w:numId w:val="25"/>
        </w:numPr>
        <w:rPr>
          <w:sz w:val="24"/>
          <w:szCs w:val="24"/>
        </w:rPr>
      </w:pPr>
      <w:r w:rsidRPr="00087917">
        <w:rPr>
          <w:sz w:val="24"/>
          <w:szCs w:val="24"/>
        </w:rPr>
        <w:t>$4 million in Recovery Act funds is being used to do mass grading for East Kapolei II, increments B and C.  As of September 30, 2011, this mass grading work was 90 percent complete.</w:t>
      </w:r>
    </w:p>
    <w:p w:rsidR="00C75924" w:rsidRDefault="00C75924">
      <w:pPr>
        <w:overflowPunct/>
        <w:autoSpaceDE/>
        <w:autoSpaceDN/>
        <w:adjustRightInd/>
        <w:textAlignment w:val="auto"/>
        <w:rPr>
          <w:sz w:val="24"/>
          <w:szCs w:val="24"/>
        </w:rPr>
      </w:pPr>
    </w:p>
    <w:p w:rsidR="00116D57" w:rsidRPr="00087917" w:rsidRDefault="00116D57" w:rsidP="0057547F">
      <w:pPr>
        <w:ind w:firstLine="720"/>
        <w:rPr>
          <w:sz w:val="24"/>
          <w:szCs w:val="24"/>
        </w:rPr>
      </w:pPr>
      <w:r w:rsidRPr="00087917">
        <w:rPr>
          <w:sz w:val="24"/>
          <w:szCs w:val="24"/>
        </w:rPr>
        <w:t xml:space="preserve">Partnerships with Habitat for Humanity and other </w:t>
      </w:r>
      <w:r w:rsidR="00EC03D0" w:rsidRPr="00087917">
        <w:rPr>
          <w:sz w:val="24"/>
          <w:szCs w:val="24"/>
        </w:rPr>
        <w:t>service</w:t>
      </w:r>
      <w:r w:rsidRPr="00087917">
        <w:rPr>
          <w:sz w:val="24"/>
          <w:szCs w:val="24"/>
        </w:rPr>
        <w:t xml:space="preserve"> </w:t>
      </w:r>
      <w:r w:rsidR="00EC03D0" w:rsidRPr="00087917">
        <w:rPr>
          <w:sz w:val="24"/>
          <w:szCs w:val="24"/>
        </w:rPr>
        <w:t xml:space="preserve">organizations </w:t>
      </w:r>
      <w:r w:rsidRPr="00087917">
        <w:rPr>
          <w:sz w:val="24"/>
          <w:szCs w:val="24"/>
        </w:rPr>
        <w:t xml:space="preserve">are making it possible for low-income </w:t>
      </w:r>
      <w:r w:rsidR="00DD0E4E">
        <w:rPr>
          <w:sz w:val="24"/>
          <w:szCs w:val="24"/>
        </w:rPr>
        <w:t>Native Hawaiian</w:t>
      </w:r>
      <w:r w:rsidRPr="00087917">
        <w:rPr>
          <w:sz w:val="24"/>
          <w:szCs w:val="24"/>
        </w:rPr>
        <w:t xml:space="preserve"> families to achieve homeownership through the self-help method of construction in various projects on the islands of Kauai, Oahu, Maui, Molokai, and Hawaii.  Partnerships have also been secured to implement a home rehabilitation </w:t>
      </w:r>
      <w:r w:rsidR="00C444E7" w:rsidRPr="00087917">
        <w:rPr>
          <w:sz w:val="24"/>
          <w:szCs w:val="24"/>
        </w:rPr>
        <w:t>grant</w:t>
      </w:r>
      <w:r w:rsidRPr="00087917">
        <w:rPr>
          <w:sz w:val="24"/>
          <w:szCs w:val="24"/>
        </w:rPr>
        <w:t xml:space="preserve"> program, a self-help home repair training program, and to provide homeownership counseling and training.</w:t>
      </w:r>
    </w:p>
    <w:p w:rsidR="008B5900" w:rsidRPr="00087917" w:rsidRDefault="008B5900" w:rsidP="0057547F">
      <w:pPr>
        <w:ind w:firstLine="720"/>
        <w:rPr>
          <w:sz w:val="24"/>
          <w:szCs w:val="24"/>
        </w:rPr>
      </w:pPr>
    </w:p>
    <w:p w:rsidR="009B7E22" w:rsidRPr="00087917" w:rsidRDefault="00FE39BA" w:rsidP="00943B1D">
      <w:pPr>
        <w:pStyle w:val="Heading9"/>
        <w:ind w:left="0" w:right="0"/>
        <w:rPr>
          <w:bCs/>
          <w:i/>
          <w:szCs w:val="24"/>
        </w:rPr>
      </w:pPr>
      <w:r w:rsidRPr="00087917">
        <w:rPr>
          <w:bCs/>
          <w:i/>
          <w:szCs w:val="24"/>
        </w:rPr>
        <w:t>Native Hawaiian</w:t>
      </w:r>
      <w:r w:rsidR="00ED5AF8" w:rsidRPr="00087917">
        <w:rPr>
          <w:bCs/>
          <w:i/>
          <w:szCs w:val="24"/>
        </w:rPr>
        <w:t xml:space="preserve"> Housing Loan Guarantee </w:t>
      </w:r>
      <w:r w:rsidR="009B7E22" w:rsidRPr="00087917">
        <w:rPr>
          <w:bCs/>
          <w:i/>
          <w:szCs w:val="24"/>
        </w:rPr>
        <w:t>(Section 184A)</w:t>
      </w:r>
    </w:p>
    <w:p w:rsidR="009B7E22" w:rsidRPr="00087917" w:rsidRDefault="009B7E22" w:rsidP="009B7E22">
      <w:pPr>
        <w:rPr>
          <w:sz w:val="24"/>
          <w:szCs w:val="24"/>
        </w:rPr>
      </w:pPr>
    </w:p>
    <w:p w:rsidR="00EC05E9" w:rsidRPr="00087917" w:rsidRDefault="000F1FC7" w:rsidP="000F1FC7">
      <w:pPr>
        <w:ind w:firstLine="720"/>
        <w:rPr>
          <w:sz w:val="24"/>
          <w:szCs w:val="24"/>
        </w:rPr>
      </w:pPr>
      <w:r w:rsidRPr="00087917">
        <w:rPr>
          <w:sz w:val="24"/>
          <w:szCs w:val="24"/>
        </w:rPr>
        <w:t xml:space="preserve">The Section 184A Loan Guarantee for Native Hawaiian Housing program, known as Section 184A, was established by Section 514 of the American Homeownership and Economic Opportunity Act of 2000 (P.L. 106-569, approved December 27, 2000), which amended the Housing and Community Development Act of 1992 (12 U.S.C. 1715z-13b).  </w:t>
      </w:r>
      <w:r w:rsidR="009B7E22" w:rsidRPr="00087917">
        <w:rPr>
          <w:sz w:val="24"/>
          <w:szCs w:val="24"/>
        </w:rPr>
        <w:t xml:space="preserve">The purpose of </w:t>
      </w:r>
      <w:r w:rsidR="00E9030F" w:rsidRPr="00087917">
        <w:rPr>
          <w:sz w:val="24"/>
          <w:szCs w:val="24"/>
        </w:rPr>
        <w:t>Section 184A</w:t>
      </w:r>
      <w:r w:rsidR="009B7E22" w:rsidRPr="00087917">
        <w:rPr>
          <w:sz w:val="24"/>
          <w:szCs w:val="24"/>
        </w:rPr>
        <w:t xml:space="preserve"> is to provide access to sources of private mortgage financing to </w:t>
      </w:r>
      <w:r w:rsidR="00DD0E4E">
        <w:rPr>
          <w:sz w:val="24"/>
          <w:szCs w:val="24"/>
        </w:rPr>
        <w:t>Native Hawaiian</w:t>
      </w:r>
      <w:r w:rsidR="009B7E22" w:rsidRPr="00087917">
        <w:rPr>
          <w:sz w:val="24"/>
          <w:szCs w:val="24"/>
        </w:rPr>
        <w:t xml:space="preserve"> families who could not otherwise acquire housing financing because of the unique legal status of the Hawaiian </w:t>
      </w:r>
      <w:r w:rsidR="00FE39BA" w:rsidRPr="00087917">
        <w:rPr>
          <w:sz w:val="24"/>
          <w:szCs w:val="24"/>
        </w:rPr>
        <w:t>home lands</w:t>
      </w:r>
      <w:r w:rsidR="00DD0E4E">
        <w:rPr>
          <w:sz w:val="24"/>
          <w:szCs w:val="24"/>
        </w:rPr>
        <w:t>.</w:t>
      </w:r>
    </w:p>
    <w:p w:rsidR="00EC05E9" w:rsidRPr="00087917" w:rsidRDefault="00EC05E9" w:rsidP="000F1FC7">
      <w:pPr>
        <w:ind w:firstLine="720"/>
        <w:rPr>
          <w:sz w:val="24"/>
          <w:szCs w:val="24"/>
        </w:rPr>
      </w:pPr>
    </w:p>
    <w:p w:rsidR="009B7E22" w:rsidRPr="00087917" w:rsidRDefault="009B7E22" w:rsidP="000F1FC7">
      <w:pPr>
        <w:ind w:firstLine="720"/>
        <w:rPr>
          <w:sz w:val="24"/>
          <w:szCs w:val="24"/>
        </w:rPr>
      </w:pPr>
      <w:r w:rsidRPr="00087917">
        <w:rPr>
          <w:sz w:val="24"/>
          <w:szCs w:val="24"/>
        </w:rPr>
        <w:t xml:space="preserve">Eligible borrowers include </w:t>
      </w:r>
      <w:r w:rsidR="00E9030F" w:rsidRPr="00087917">
        <w:rPr>
          <w:sz w:val="24"/>
          <w:szCs w:val="24"/>
        </w:rPr>
        <w:t>N</w:t>
      </w:r>
      <w:r w:rsidR="00FE39BA" w:rsidRPr="00087917">
        <w:rPr>
          <w:sz w:val="24"/>
          <w:szCs w:val="24"/>
        </w:rPr>
        <w:t>ative Hawaiian</w:t>
      </w:r>
      <w:r w:rsidRPr="00087917">
        <w:rPr>
          <w:sz w:val="24"/>
          <w:szCs w:val="24"/>
        </w:rPr>
        <w:t xml:space="preserve"> families who are eligible to reside on Hawaiian </w:t>
      </w:r>
      <w:r w:rsidR="00FE39BA" w:rsidRPr="00087917">
        <w:rPr>
          <w:sz w:val="24"/>
          <w:szCs w:val="24"/>
        </w:rPr>
        <w:t>home lands</w:t>
      </w:r>
      <w:r w:rsidRPr="00087917">
        <w:rPr>
          <w:sz w:val="24"/>
          <w:szCs w:val="24"/>
        </w:rPr>
        <w:t xml:space="preserve">, the DHHL, the Office of Hawaiian Affairs, or private nonprofit organizations experienced in the planning and development of affordable housing for </w:t>
      </w:r>
      <w:r w:rsidR="008E57F8" w:rsidRPr="00087917">
        <w:rPr>
          <w:sz w:val="24"/>
          <w:szCs w:val="24"/>
        </w:rPr>
        <w:t>on Hawaiian home lands</w:t>
      </w:r>
      <w:r w:rsidRPr="00087917">
        <w:rPr>
          <w:sz w:val="24"/>
          <w:szCs w:val="24"/>
        </w:rPr>
        <w:t xml:space="preserve">.  Loans are used to construct, acquire, or rehabilitate eligible housing located on the Hawaiian </w:t>
      </w:r>
      <w:r w:rsidR="00FE39BA" w:rsidRPr="00087917">
        <w:rPr>
          <w:sz w:val="24"/>
          <w:szCs w:val="24"/>
        </w:rPr>
        <w:t>home lands</w:t>
      </w:r>
      <w:r w:rsidRPr="00087917">
        <w:rPr>
          <w:sz w:val="24"/>
          <w:szCs w:val="24"/>
        </w:rPr>
        <w:t>.</w:t>
      </w:r>
      <w:r w:rsidR="000F1FC7" w:rsidRPr="00087917">
        <w:rPr>
          <w:sz w:val="24"/>
          <w:szCs w:val="24"/>
        </w:rPr>
        <w:t xml:space="preserve">  The FY 2012 Appropriations Act authorized </w:t>
      </w:r>
      <w:r w:rsidR="00D71071" w:rsidRPr="00087917">
        <w:rPr>
          <w:sz w:val="24"/>
          <w:szCs w:val="24"/>
        </w:rPr>
        <w:t xml:space="preserve">funding </w:t>
      </w:r>
      <w:r w:rsidR="000F1FC7" w:rsidRPr="00087917">
        <w:rPr>
          <w:sz w:val="24"/>
          <w:szCs w:val="24"/>
        </w:rPr>
        <w:t xml:space="preserve">to be used for </w:t>
      </w:r>
      <w:r w:rsidR="00D71071" w:rsidRPr="00087917">
        <w:rPr>
          <w:sz w:val="24"/>
          <w:szCs w:val="24"/>
        </w:rPr>
        <w:t xml:space="preserve">Section 184A </w:t>
      </w:r>
      <w:r w:rsidR="000F1FC7" w:rsidRPr="00087917">
        <w:rPr>
          <w:sz w:val="24"/>
          <w:szCs w:val="24"/>
        </w:rPr>
        <w:t xml:space="preserve">refinancing. </w:t>
      </w:r>
    </w:p>
    <w:p w:rsidR="007F35A1" w:rsidRPr="00087917" w:rsidRDefault="007F35A1">
      <w:pPr>
        <w:overflowPunct/>
        <w:autoSpaceDE/>
        <w:autoSpaceDN/>
        <w:adjustRightInd/>
        <w:textAlignment w:val="auto"/>
        <w:rPr>
          <w:sz w:val="24"/>
          <w:szCs w:val="24"/>
        </w:rPr>
      </w:pPr>
    </w:p>
    <w:p w:rsidR="00EC03D0" w:rsidRPr="00087917" w:rsidRDefault="00FB59A1" w:rsidP="00EC03D0">
      <w:pPr>
        <w:rPr>
          <w:i/>
          <w:sz w:val="24"/>
          <w:szCs w:val="24"/>
        </w:rPr>
      </w:pPr>
      <w:r w:rsidRPr="00087917">
        <w:rPr>
          <w:i/>
          <w:sz w:val="24"/>
          <w:szCs w:val="24"/>
          <w:u w:val="single"/>
        </w:rPr>
        <w:t>Section 184A Program Funding and Accomplishments</w:t>
      </w:r>
    </w:p>
    <w:p w:rsidR="00EC03D0" w:rsidRPr="00087917" w:rsidRDefault="00EC03D0" w:rsidP="007D350E">
      <w:pPr>
        <w:ind w:firstLine="720"/>
        <w:rPr>
          <w:sz w:val="24"/>
          <w:szCs w:val="24"/>
        </w:rPr>
      </w:pPr>
    </w:p>
    <w:p w:rsidR="000F1FC7" w:rsidRPr="00087917" w:rsidRDefault="000F1FC7" w:rsidP="007D350E">
      <w:pPr>
        <w:ind w:firstLine="720"/>
        <w:rPr>
          <w:sz w:val="24"/>
          <w:szCs w:val="24"/>
        </w:rPr>
      </w:pPr>
      <w:r w:rsidRPr="00087917">
        <w:rPr>
          <w:sz w:val="24"/>
          <w:szCs w:val="24"/>
        </w:rPr>
        <w:t xml:space="preserve">In August 2005, DHHL closed on the first loan guaranteed under the Section 184A Loan Guarantee program.  In May 2006, HUD executed a memorandum of agreement with DHHL that served as the foundation for subsequent </w:t>
      </w:r>
      <w:r w:rsidR="00EC05E9" w:rsidRPr="00087917">
        <w:rPr>
          <w:sz w:val="24"/>
          <w:szCs w:val="24"/>
        </w:rPr>
        <w:t>loan</w:t>
      </w:r>
      <w:r w:rsidRPr="00087917">
        <w:rPr>
          <w:sz w:val="24"/>
          <w:szCs w:val="24"/>
        </w:rPr>
        <w:t xml:space="preserve"> activity. </w:t>
      </w:r>
      <w:r w:rsidR="00EC05E9" w:rsidRPr="00087917">
        <w:rPr>
          <w:sz w:val="24"/>
          <w:szCs w:val="24"/>
        </w:rPr>
        <w:t>Prior to this agreement, DHHL was the only eligible participant in the program</w:t>
      </w:r>
      <w:r w:rsidR="00EE3C0E" w:rsidRPr="00087917">
        <w:rPr>
          <w:sz w:val="24"/>
          <w:szCs w:val="24"/>
        </w:rPr>
        <w:t xml:space="preserve">.  </w:t>
      </w:r>
      <w:r w:rsidRPr="00087917">
        <w:rPr>
          <w:sz w:val="24"/>
          <w:szCs w:val="24"/>
        </w:rPr>
        <w:t xml:space="preserve"> </w:t>
      </w:r>
      <w:r w:rsidR="00496F26" w:rsidRPr="00087917">
        <w:rPr>
          <w:sz w:val="24"/>
          <w:szCs w:val="24"/>
        </w:rPr>
        <w:t xml:space="preserve">Since </w:t>
      </w:r>
      <w:r w:rsidR="00EC05E9" w:rsidRPr="00087917">
        <w:rPr>
          <w:sz w:val="24"/>
          <w:szCs w:val="24"/>
        </w:rPr>
        <w:t xml:space="preserve">184A </w:t>
      </w:r>
      <w:r w:rsidR="00496F26" w:rsidRPr="00087917">
        <w:rPr>
          <w:sz w:val="24"/>
          <w:szCs w:val="24"/>
        </w:rPr>
        <w:t>program activity began in FY 2005</w:t>
      </w:r>
      <w:r w:rsidR="0057547F" w:rsidRPr="00087917">
        <w:rPr>
          <w:sz w:val="24"/>
          <w:szCs w:val="24"/>
        </w:rPr>
        <w:t xml:space="preserve">, </w:t>
      </w:r>
      <w:r w:rsidR="0057547F" w:rsidRPr="00087917">
        <w:rPr>
          <w:bCs/>
          <w:sz w:val="24"/>
          <w:szCs w:val="24"/>
        </w:rPr>
        <w:t>269</w:t>
      </w:r>
      <w:r w:rsidR="0057547F" w:rsidRPr="00087917">
        <w:rPr>
          <w:sz w:val="24"/>
          <w:szCs w:val="24"/>
        </w:rPr>
        <w:t xml:space="preserve"> loans have been guaranteed.</w:t>
      </w:r>
      <w:r w:rsidR="00EE3C0E" w:rsidRPr="00087917">
        <w:rPr>
          <w:sz w:val="24"/>
          <w:szCs w:val="24"/>
        </w:rPr>
        <w:t xml:space="preserve">  </w:t>
      </w:r>
      <w:r w:rsidR="00496F26" w:rsidRPr="00087917">
        <w:rPr>
          <w:sz w:val="24"/>
          <w:szCs w:val="24"/>
        </w:rPr>
        <w:t>Given the recent authority to use the program for refinancing,</w:t>
      </w:r>
      <w:r w:rsidR="00124EDB" w:rsidRPr="00087917">
        <w:rPr>
          <w:sz w:val="24"/>
          <w:szCs w:val="24"/>
        </w:rPr>
        <w:t xml:space="preserve"> and DHHL success in constructing new homes on Hawaiian home lands</w:t>
      </w:r>
      <w:r w:rsidR="00EE3C0E" w:rsidRPr="00087917">
        <w:rPr>
          <w:sz w:val="24"/>
          <w:szCs w:val="24"/>
        </w:rPr>
        <w:t>, HUD</w:t>
      </w:r>
      <w:r w:rsidR="00496F26" w:rsidRPr="00087917">
        <w:rPr>
          <w:sz w:val="24"/>
          <w:szCs w:val="24"/>
        </w:rPr>
        <w:t xml:space="preserve"> expects loan activity to significantly increase within the next year. </w:t>
      </w:r>
    </w:p>
    <w:p w:rsidR="00496F26" w:rsidRPr="00087917" w:rsidRDefault="00496F26" w:rsidP="009B7E22">
      <w:pPr>
        <w:ind w:firstLine="576"/>
        <w:rPr>
          <w:b/>
          <w:bCs/>
          <w:sz w:val="24"/>
          <w:szCs w:val="24"/>
        </w:rPr>
      </w:pPr>
    </w:p>
    <w:p w:rsidR="00806CAB" w:rsidRPr="00087917" w:rsidRDefault="00E9030F" w:rsidP="009B7E22">
      <w:pPr>
        <w:pStyle w:val="Heading9"/>
        <w:ind w:left="0" w:right="0"/>
        <w:rPr>
          <w:bCs/>
          <w:i/>
          <w:szCs w:val="24"/>
        </w:rPr>
      </w:pPr>
      <w:r w:rsidRPr="00087917">
        <w:rPr>
          <w:szCs w:val="24"/>
        </w:rPr>
        <w:t>T</w:t>
      </w:r>
      <w:r w:rsidRPr="00087917">
        <w:rPr>
          <w:i/>
          <w:szCs w:val="24"/>
        </w:rPr>
        <w:t>he Hawaiian Homeownership Act of 2011, Senate Bill 65</w:t>
      </w:r>
    </w:p>
    <w:p w:rsidR="00E118F2" w:rsidRPr="00087917" w:rsidRDefault="00E118F2" w:rsidP="009B7E22">
      <w:pPr>
        <w:rPr>
          <w:sz w:val="24"/>
          <w:szCs w:val="24"/>
        </w:rPr>
      </w:pPr>
    </w:p>
    <w:p w:rsidR="00B1301B" w:rsidRPr="00087917" w:rsidRDefault="008A2027" w:rsidP="009B7E22">
      <w:pPr>
        <w:rPr>
          <w:sz w:val="24"/>
          <w:szCs w:val="24"/>
        </w:rPr>
      </w:pPr>
      <w:r w:rsidRPr="00087917">
        <w:rPr>
          <w:sz w:val="24"/>
          <w:szCs w:val="24"/>
        </w:rPr>
        <w:tab/>
      </w:r>
      <w:r w:rsidR="0025194C" w:rsidRPr="00087917">
        <w:rPr>
          <w:sz w:val="24"/>
          <w:szCs w:val="24"/>
        </w:rPr>
        <w:t xml:space="preserve">HUD supports </w:t>
      </w:r>
      <w:r w:rsidR="005D4EA6" w:rsidRPr="00087917">
        <w:rPr>
          <w:sz w:val="24"/>
          <w:szCs w:val="24"/>
        </w:rPr>
        <w:t>The Hawaiian Homeownership Act of 2011 (</w:t>
      </w:r>
      <w:r w:rsidR="0025194C" w:rsidRPr="00087917">
        <w:rPr>
          <w:sz w:val="24"/>
          <w:szCs w:val="24"/>
        </w:rPr>
        <w:t xml:space="preserve">Senate Bill </w:t>
      </w:r>
      <w:r w:rsidR="009508F1" w:rsidRPr="00087917">
        <w:rPr>
          <w:sz w:val="24"/>
          <w:szCs w:val="24"/>
        </w:rPr>
        <w:t>65</w:t>
      </w:r>
      <w:r w:rsidR="005D4EA6" w:rsidRPr="00087917">
        <w:rPr>
          <w:sz w:val="24"/>
          <w:szCs w:val="24"/>
        </w:rPr>
        <w:t>)</w:t>
      </w:r>
      <w:r w:rsidR="0025194C" w:rsidRPr="00087917">
        <w:rPr>
          <w:sz w:val="24"/>
          <w:szCs w:val="24"/>
        </w:rPr>
        <w:t xml:space="preserve"> and its </w:t>
      </w:r>
      <w:r w:rsidR="00E9030F" w:rsidRPr="00087917">
        <w:rPr>
          <w:sz w:val="24"/>
          <w:szCs w:val="24"/>
        </w:rPr>
        <w:t>re</w:t>
      </w:r>
      <w:r w:rsidR="0025194C" w:rsidRPr="00087917">
        <w:rPr>
          <w:sz w:val="24"/>
          <w:szCs w:val="24"/>
        </w:rPr>
        <w:t xml:space="preserve">authorization </w:t>
      </w:r>
      <w:r w:rsidR="00E9030F" w:rsidRPr="00087917">
        <w:rPr>
          <w:sz w:val="24"/>
          <w:szCs w:val="24"/>
        </w:rPr>
        <w:t xml:space="preserve">and expansion of both NHHBG and Section 184A </w:t>
      </w:r>
      <w:r w:rsidR="0025194C" w:rsidRPr="00087917">
        <w:rPr>
          <w:sz w:val="24"/>
          <w:szCs w:val="24"/>
        </w:rPr>
        <w:t xml:space="preserve">through 2015.  </w:t>
      </w:r>
      <w:r w:rsidRPr="00087917">
        <w:rPr>
          <w:sz w:val="24"/>
          <w:szCs w:val="24"/>
        </w:rPr>
        <w:t xml:space="preserve">DHHL is </w:t>
      </w:r>
      <w:r w:rsidR="00A3678D" w:rsidRPr="00087917">
        <w:rPr>
          <w:sz w:val="24"/>
          <w:szCs w:val="24"/>
        </w:rPr>
        <w:t>working effectively</w:t>
      </w:r>
      <w:r w:rsidRPr="00087917">
        <w:rPr>
          <w:sz w:val="24"/>
          <w:szCs w:val="24"/>
        </w:rPr>
        <w:t xml:space="preserve"> with community partners </w:t>
      </w:r>
      <w:r w:rsidR="00A3678D" w:rsidRPr="00087917">
        <w:rPr>
          <w:sz w:val="24"/>
          <w:szCs w:val="24"/>
        </w:rPr>
        <w:t>to not only</w:t>
      </w:r>
      <w:r w:rsidRPr="00087917">
        <w:rPr>
          <w:sz w:val="24"/>
          <w:szCs w:val="24"/>
        </w:rPr>
        <w:t xml:space="preserve"> </w:t>
      </w:r>
      <w:r w:rsidR="00A3678D" w:rsidRPr="00087917">
        <w:rPr>
          <w:sz w:val="24"/>
          <w:szCs w:val="24"/>
        </w:rPr>
        <w:t>increase housing opportunity on the Islands</w:t>
      </w:r>
      <w:r w:rsidR="00D7141F" w:rsidRPr="00087917">
        <w:rPr>
          <w:sz w:val="24"/>
          <w:szCs w:val="24"/>
        </w:rPr>
        <w:t>,</w:t>
      </w:r>
      <w:r w:rsidR="00A3678D" w:rsidRPr="00087917">
        <w:rPr>
          <w:sz w:val="24"/>
          <w:szCs w:val="24"/>
        </w:rPr>
        <w:t xml:space="preserve"> </w:t>
      </w:r>
      <w:r w:rsidRPr="00087917">
        <w:rPr>
          <w:sz w:val="24"/>
          <w:szCs w:val="24"/>
        </w:rPr>
        <w:t xml:space="preserve">but to build </w:t>
      </w:r>
      <w:r w:rsidR="00A3678D" w:rsidRPr="00087917">
        <w:rPr>
          <w:sz w:val="24"/>
          <w:szCs w:val="24"/>
        </w:rPr>
        <w:t xml:space="preserve">stronger, more economically vibrant </w:t>
      </w:r>
      <w:r w:rsidR="005D4EA6" w:rsidRPr="00087917">
        <w:rPr>
          <w:sz w:val="24"/>
          <w:szCs w:val="24"/>
        </w:rPr>
        <w:t xml:space="preserve">and self-sufficient </w:t>
      </w:r>
      <w:r w:rsidRPr="00087917">
        <w:rPr>
          <w:sz w:val="24"/>
          <w:szCs w:val="24"/>
        </w:rPr>
        <w:t>communities.  DHHL understand</w:t>
      </w:r>
      <w:r w:rsidR="00B1301B" w:rsidRPr="00087917">
        <w:rPr>
          <w:sz w:val="24"/>
          <w:szCs w:val="24"/>
        </w:rPr>
        <w:t>s</w:t>
      </w:r>
      <w:r w:rsidRPr="00087917">
        <w:rPr>
          <w:sz w:val="24"/>
          <w:szCs w:val="24"/>
        </w:rPr>
        <w:t xml:space="preserve"> the value of thoughtful planning as</w:t>
      </w:r>
      <w:r w:rsidR="00B1301B" w:rsidRPr="00087917">
        <w:rPr>
          <w:sz w:val="24"/>
          <w:szCs w:val="24"/>
        </w:rPr>
        <w:t xml:space="preserve"> evidenced in its strategic plan</w:t>
      </w:r>
      <w:r w:rsidR="00D7141F" w:rsidRPr="00087917">
        <w:rPr>
          <w:sz w:val="24"/>
          <w:szCs w:val="24"/>
        </w:rPr>
        <w:t>,</w:t>
      </w:r>
      <w:r w:rsidRPr="00087917">
        <w:rPr>
          <w:sz w:val="24"/>
          <w:szCs w:val="24"/>
        </w:rPr>
        <w:t xml:space="preserve"> which includes elements of regional planning, energy efficiency and leveraging resources. </w:t>
      </w:r>
    </w:p>
    <w:p w:rsidR="00E9030F" w:rsidRPr="00087917" w:rsidRDefault="00E9030F" w:rsidP="009B7E22">
      <w:pPr>
        <w:rPr>
          <w:sz w:val="24"/>
          <w:szCs w:val="24"/>
        </w:rPr>
      </w:pPr>
    </w:p>
    <w:p w:rsidR="00A45A77" w:rsidRPr="00087917" w:rsidRDefault="005D4EA6" w:rsidP="00A45A77">
      <w:pPr>
        <w:ind w:firstLine="720"/>
        <w:rPr>
          <w:sz w:val="24"/>
          <w:szCs w:val="24"/>
        </w:rPr>
      </w:pPr>
      <w:r w:rsidRPr="00087917">
        <w:rPr>
          <w:sz w:val="24"/>
          <w:szCs w:val="24"/>
        </w:rPr>
        <w:t>Expanding the 184A program to a</w:t>
      </w:r>
      <w:r w:rsidR="00B1301B" w:rsidRPr="00087917">
        <w:rPr>
          <w:sz w:val="24"/>
          <w:szCs w:val="24"/>
        </w:rPr>
        <w:t xml:space="preserve">llow families to refinance </w:t>
      </w:r>
      <w:r w:rsidR="005B7FF5" w:rsidRPr="00087917">
        <w:rPr>
          <w:sz w:val="24"/>
          <w:szCs w:val="24"/>
        </w:rPr>
        <w:t>will provide</w:t>
      </w:r>
      <w:r w:rsidR="00B1301B" w:rsidRPr="00087917">
        <w:rPr>
          <w:sz w:val="24"/>
          <w:szCs w:val="24"/>
        </w:rPr>
        <w:t xml:space="preserve"> a perfect compl</w:t>
      </w:r>
      <w:r w:rsidR="00211409" w:rsidRPr="00087917">
        <w:rPr>
          <w:sz w:val="24"/>
          <w:szCs w:val="24"/>
        </w:rPr>
        <w:t>e</w:t>
      </w:r>
      <w:r w:rsidR="00B1301B" w:rsidRPr="00087917">
        <w:rPr>
          <w:sz w:val="24"/>
          <w:szCs w:val="24"/>
        </w:rPr>
        <w:t xml:space="preserve">ment to the limited amount of financing options available for properties on Hawaiian </w:t>
      </w:r>
      <w:r w:rsidR="00FE39BA" w:rsidRPr="00087917">
        <w:rPr>
          <w:sz w:val="24"/>
          <w:szCs w:val="24"/>
        </w:rPr>
        <w:t>home lands</w:t>
      </w:r>
      <w:r w:rsidR="00B1301B" w:rsidRPr="00087917">
        <w:rPr>
          <w:sz w:val="24"/>
          <w:szCs w:val="24"/>
        </w:rPr>
        <w:t xml:space="preserve">.  The Section 184A program makes it possible for eligible </w:t>
      </w:r>
      <w:r w:rsidR="00DD0E4E">
        <w:rPr>
          <w:sz w:val="24"/>
          <w:szCs w:val="24"/>
        </w:rPr>
        <w:t>Native Hawaiian</w:t>
      </w:r>
      <w:r w:rsidR="00A45A77" w:rsidRPr="00087917">
        <w:rPr>
          <w:sz w:val="24"/>
          <w:szCs w:val="24"/>
        </w:rPr>
        <w:t xml:space="preserve"> families to refinance their homes at the current market rate of interest.  The money saved on a monthly basis through refinancing is critical to families living in high-cost areas</w:t>
      </w:r>
      <w:r w:rsidR="00A3678D" w:rsidRPr="00087917">
        <w:rPr>
          <w:sz w:val="24"/>
          <w:szCs w:val="24"/>
        </w:rPr>
        <w:t>,</w:t>
      </w:r>
      <w:r w:rsidR="00A45A77" w:rsidRPr="00087917">
        <w:rPr>
          <w:sz w:val="24"/>
          <w:szCs w:val="24"/>
        </w:rPr>
        <w:t xml:space="preserve"> </w:t>
      </w:r>
      <w:r w:rsidR="00A3678D" w:rsidRPr="00087917">
        <w:rPr>
          <w:sz w:val="24"/>
          <w:szCs w:val="24"/>
        </w:rPr>
        <w:t>and provides greater</w:t>
      </w:r>
      <w:r w:rsidR="00A45A77" w:rsidRPr="00087917">
        <w:rPr>
          <w:sz w:val="24"/>
          <w:szCs w:val="24"/>
        </w:rPr>
        <w:t xml:space="preserve"> stability of </w:t>
      </w:r>
      <w:r w:rsidR="00DD0E4E">
        <w:rPr>
          <w:sz w:val="24"/>
          <w:szCs w:val="24"/>
        </w:rPr>
        <w:t>Native Hawaiian</w:t>
      </w:r>
      <w:r w:rsidR="00A45A77" w:rsidRPr="00087917">
        <w:rPr>
          <w:sz w:val="24"/>
          <w:szCs w:val="24"/>
        </w:rPr>
        <w:t xml:space="preserve"> communities.</w:t>
      </w:r>
    </w:p>
    <w:p w:rsidR="00F2280D" w:rsidRPr="00087917" w:rsidRDefault="00806CAB" w:rsidP="00A45A77">
      <w:pPr>
        <w:ind w:firstLine="720"/>
        <w:rPr>
          <w:sz w:val="24"/>
          <w:szCs w:val="24"/>
        </w:rPr>
      </w:pPr>
      <w:r w:rsidRPr="00087917">
        <w:rPr>
          <w:sz w:val="24"/>
          <w:szCs w:val="24"/>
        </w:rPr>
        <w:tab/>
      </w:r>
    </w:p>
    <w:p w:rsidR="00B34A33" w:rsidRPr="00087917" w:rsidRDefault="00211409" w:rsidP="009B7E22">
      <w:pPr>
        <w:ind w:firstLine="720"/>
        <w:rPr>
          <w:sz w:val="24"/>
          <w:szCs w:val="24"/>
        </w:rPr>
      </w:pPr>
      <w:r w:rsidRPr="00087917">
        <w:rPr>
          <w:sz w:val="24"/>
          <w:szCs w:val="24"/>
        </w:rPr>
        <w:t>And g</w:t>
      </w:r>
      <w:r w:rsidR="00B1301B" w:rsidRPr="00087917">
        <w:rPr>
          <w:sz w:val="24"/>
          <w:szCs w:val="24"/>
        </w:rPr>
        <w:t>iving DHHL the ability to participate in the Title VI program will expand the leveraging capacity of federal funds</w:t>
      </w:r>
      <w:r w:rsidR="00D7141F" w:rsidRPr="00087917">
        <w:rPr>
          <w:sz w:val="24"/>
          <w:szCs w:val="24"/>
        </w:rPr>
        <w:t>,</w:t>
      </w:r>
      <w:r w:rsidR="00B1301B" w:rsidRPr="00087917">
        <w:rPr>
          <w:sz w:val="24"/>
          <w:szCs w:val="24"/>
        </w:rPr>
        <w:t xml:space="preserve"> and at the same time</w:t>
      </w:r>
      <w:r w:rsidR="00D7141F" w:rsidRPr="00087917">
        <w:rPr>
          <w:sz w:val="24"/>
          <w:szCs w:val="24"/>
        </w:rPr>
        <w:t>,</w:t>
      </w:r>
      <w:r w:rsidR="00B1301B" w:rsidRPr="00087917">
        <w:rPr>
          <w:sz w:val="24"/>
          <w:szCs w:val="24"/>
        </w:rPr>
        <w:t xml:space="preserve"> </w:t>
      </w:r>
      <w:r w:rsidR="00D7141F" w:rsidRPr="00087917">
        <w:rPr>
          <w:sz w:val="24"/>
          <w:szCs w:val="24"/>
        </w:rPr>
        <w:t xml:space="preserve">will </w:t>
      </w:r>
      <w:r w:rsidR="00B1301B" w:rsidRPr="00087917">
        <w:rPr>
          <w:sz w:val="24"/>
          <w:szCs w:val="24"/>
        </w:rPr>
        <w:t xml:space="preserve">decrease </w:t>
      </w:r>
      <w:r w:rsidR="002606F6" w:rsidRPr="00087917">
        <w:rPr>
          <w:sz w:val="24"/>
          <w:szCs w:val="24"/>
        </w:rPr>
        <w:t xml:space="preserve">dependency on </w:t>
      </w:r>
      <w:r w:rsidR="00B1301B" w:rsidRPr="00087917">
        <w:rPr>
          <w:sz w:val="24"/>
          <w:szCs w:val="24"/>
        </w:rPr>
        <w:t xml:space="preserve">government dollars. </w:t>
      </w:r>
      <w:r w:rsidR="00AF19A9" w:rsidRPr="00087917">
        <w:rPr>
          <w:sz w:val="24"/>
          <w:szCs w:val="24"/>
        </w:rPr>
        <w:t xml:space="preserve"> Currently</w:t>
      </w:r>
      <w:r w:rsidR="002606F6" w:rsidRPr="00087917">
        <w:rPr>
          <w:sz w:val="24"/>
          <w:szCs w:val="24"/>
        </w:rPr>
        <w:t>,</w:t>
      </w:r>
      <w:r w:rsidR="00AF19A9" w:rsidRPr="00087917">
        <w:rPr>
          <w:sz w:val="24"/>
          <w:szCs w:val="24"/>
        </w:rPr>
        <w:t xml:space="preserve"> only tribes or their tribally designated housing entities can participate in the </w:t>
      </w:r>
      <w:r w:rsidR="00F2280D" w:rsidRPr="00087917">
        <w:rPr>
          <w:sz w:val="24"/>
          <w:szCs w:val="24"/>
        </w:rPr>
        <w:t>Title VI program</w:t>
      </w:r>
      <w:r w:rsidR="00AF19A9" w:rsidRPr="00087917">
        <w:rPr>
          <w:sz w:val="24"/>
          <w:szCs w:val="24"/>
        </w:rPr>
        <w:t>.  This program is a powerful leveraging and development tool</w:t>
      </w:r>
      <w:r w:rsidR="00B34A33" w:rsidRPr="00087917">
        <w:rPr>
          <w:sz w:val="24"/>
          <w:szCs w:val="24"/>
        </w:rPr>
        <w:t xml:space="preserve"> that encourages long-term projects and the leveraging of a variety of funding sources.  Under Title VI, HUD can guarantee 95 percent of a loan for affordable housing activities</w:t>
      </w:r>
      <w:r w:rsidR="006B4FFD" w:rsidRPr="00087917">
        <w:rPr>
          <w:sz w:val="24"/>
          <w:szCs w:val="24"/>
        </w:rPr>
        <w:t xml:space="preserve"> covered under NAHASDA</w:t>
      </w:r>
      <w:r w:rsidR="00B34A33" w:rsidRPr="00087917">
        <w:rPr>
          <w:sz w:val="24"/>
          <w:szCs w:val="24"/>
        </w:rPr>
        <w:t>.  Borrowers pledge a portion of their current and future housing block grant funds as security.  This program has provided an incentive for lenders to get involved in the development of tribal housing.</w:t>
      </w:r>
    </w:p>
    <w:p w:rsidR="00EE6CFF" w:rsidRPr="00087917" w:rsidRDefault="00806CAB" w:rsidP="0025194C">
      <w:pPr>
        <w:rPr>
          <w:b/>
          <w:bCs/>
          <w:sz w:val="24"/>
          <w:szCs w:val="24"/>
        </w:rPr>
      </w:pPr>
      <w:r w:rsidRPr="00087917">
        <w:rPr>
          <w:sz w:val="24"/>
          <w:szCs w:val="24"/>
        </w:rPr>
        <w:tab/>
      </w:r>
    </w:p>
    <w:p w:rsidR="00806CAB" w:rsidRPr="00087917" w:rsidRDefault="00FB59A1" w:rsidP="009B7E22">
      <w:pPr>
        <w:pStyle w:val="Heading9"/>
        <w:ind w:left="0" w:right="0"/>
        <w:rPr>
          <w:bCs/>
          <w:i/>
          <w:szCs w:val="24"/>
        </w:rPr>
      </w:pPr>
      <w:r w:rsidRPr="00087917">
        <w:rPr>
          <w:bCs/>
          <w:i/>
          <w:szCs w:val="24"/>
        </w:rPr>
        <w:t>Conclusion</w:t>
      </w:r>
    </w:p>
    <w:p w:rsidR="00806CAB" w:rsidRPr="00087917" w:rsidRDefault="00806CAB" w:rsidP="009B7E22">
      <w:pPr>
        <w:ind w:firstLine="720"/>
        <w:rPr>
          <w:b/>
          <w:bCs/>
          <w:sz w:val="24"/>
          <w:szCs w:val="24"/>
        </w:rPr>
      </w:pPr>
    </w:p>
    <w:p w:rsidR="00C97A48" w:rsidRPr="00087917" w:rsidRDefault="006B4FFD" w:rsidP="009B7E22">
      <w:pPr>
        <w:ind w:firstLine="720"/>
        <w:rPr>
          <w:sz w:val="24"/>
          <w:szCs w:val="24"/>
        </w:rPr>
      </w:pPr>
      <w:r w:rsidRPr="00087917">
        <w:rPr>
          <w:sz w:val="24"/>
          <w:szCs w:val="24"/>
        </w:rPr>
        <w:t xml:space="preserve">In conclusion </w:t>
      </w:r>
      <w:r w:rsidR="00A3678D" w:rsidRPr="00087917">
        <w:rPr>
          <w:sz w:val="24"/>
          <w:szCs w:val="24"/>
        </w:rPr>
        <w:t xml:space="preserve">Chairman, </w:t>
      </w:r>
      <w:r w:rsidR="00CA045C" w:rsidRPr="00087917">
        <w:rPr>
          <w:sz w:val="24"/>
          <w:szCs w:val="24"/>
        </w:rPr>
        <w:t>through</w:t>
      </w:r>
      <w:r w:rsidR="00A3678D" w:rsidRPr="00087917">
        <w:rPr>
          <w:sz w:val="24"/>
          <w:szCs w:val="24"/>
        </w:rPr>
        <w:t xml:space="preserve"> the </w:t>
      </w:r>
      <w:r w:rsidR="00CA045C" w:rsidRPr="00087917">
        <w:rPr>
          <w:sz w:val="24"/>
          <w:szCs w:val="24"/>
        </w:rPr>
        <w:t xml:space="preserve">reauthorization of both the </w:t>
      </w:r>
      <w:r w:rsidR="00A3678D" w:rsidRPr="00087917">
        <w:rPr>
          <w:sz w:val="24"/>
          <w:szCs w:val="24"/>
        </w:rPr>
        <w:t xml:space="preserve">Native Hawaiian Housing Block </w:t>
      </w:r>
      <w:r w:rsidR="00D7141F" w:rsidRPr="00087917">
        <w:rPr>
          <w:sz w:val="24"/>
          <w:szCs w:val="24"/>
        </w:rPr>
        <w:t>G</w:t>
      </w:r>
      <w:r w:rsidR="00A3678D" w:rsidRPr="00087917">
        <w:rPr>
          <w:sz w:val="24"/>
          <w:szCs w:val="24"/>
        </w:rPr>
        <w:t xml:space="preserve">rant and the Section 184A program </w:t>
      </w:r>
      <w:r w:rsidR="00C97A48" w:rsidRPr="00087917">
        <w:rPr>
          <w:sz w:val="24"/>
          <w:szCs w:val="24"/>
        </w:rPr>
        <w:t xml:space="preserve">we can </w:t>
      </w:r>
      <w:r w:rsidR="00CC7382">
        <w:rPr>
          <w:sz w:val="24"/>
          <w:szCs w:val="24"/>
        </w:rPr>
        <w:t xml:space="preserve">work towards giving </w:t>
      </w:r>
      <w:r w:rsidR="00C97A48" w:rsidRPr="00087917">
        <w:rPr>
          <w:sz w:val="24"/>
          <w:szCs w:val="24"/>
        </w:rPr>
        <w:t xml:space="preserve">every </w:t>
      </w:r>
      <w:r w:rsidR="00DD0E4E">
        <w:rPr>
          <w:sz w:val="24"/>
          <w:szCs w:val="24"/>
        </w:rPr>
        <w:t>Native Hawaiian</w:t>
      </w:r>
      <w:r w:rsidR="00C97A48" w:rsidRPr="00087917">
        <w:rPr>
          <w:sz w:val="24"/>
          <w:szCs w:val="24"/>
        </w:rPr>
        <w:t xml:space="preserve"> family </w:t>
      </w:r>
      <w:r w:rsidR="00CA045C" w:rsidRPr="00087917">
        <w:rPr>
          <w:sz w:val="24"/>
          <w:szCs w:val="24"/>
        </w:rPr>
        <w:t xml:space="preserve">a fair shot </w:t>
      </w:r>
      <w:r w:rsidR="00D7141F" w:rsidRPr="00087917">
        <w:rPr>
          <w:sz w:val="24"/>
          <w:szCs w:val="24"/>
        </w:rPr>
        <w:t xml:space="preserve">at </w:t>
      </w:r>
      <w:r w:rsidR="00CA045C" w:rsidRPr="00087917">
        <w:rPr>
          <w:sz w:val="24"/>
          <w:szCs w:val="24"/>
        </w:rPr>
        <w:t xml:space="preserve">having a </w:t>
      </w:r>
      <w:r w:rsidR="00211409" w:rsidRPr="00087917">
        <w:rPr>
          <w:sz w:val="24"/>
          <w:szCs w:val="24"/>
        </w:rPr>
        <w:t>home.</w:t>
      </w:r>
    </w:p>
    <w:p w:rsidR="00C97A48" w:rsidRPr="00087917" w:rsidRDefault="00C97A48" w:rsidP="009B7E22">
      <w:pPr>
        <w:ind w:firstLine="720"/>
        <w:rPr>
          <w:sz w:val="24"/>
          <w:szCs w:val="24"/>
        </w:rPr>
      </w:pPr>
    </w:p>
    <w:p w:rsidR="00C97A48" w:rsidRPr="00087917" w:rsidRDefault="00C97A48" w:rsidP="00C97A48">
      <w:pPr>
        <w:rPr>
          <w:sz w:val="24"/>
          <w:szCs w:val="24"/>
        </w:rPr>
      </w:pPr>
      <w:r w:rsidRPr="00087917">
        <w:rPr>
          <w:sz w:val="24"/>
          <w:szCs w:val="24"/>
        </w:rPr>
        <w:tab/>
        <w:t xml:space="preserve">Thank you again for this opportunity to appear before you today. </w:t>
      </w:r>
      <w:r w:rsidR="00D7141F" w:rsidRPr="00087917">
        <w:rPr>
          <w:sz w:val="24"/>
          <w:szCs w:val="24"/>
        </w:rPr>
        <w:t xml:space="preserve"> </w:t>
      </w:r>
      <w:r w:rsidRPr="00087917">
        <w:rPr>
          <w:sz w:val="24"/>
          <w:szCs w:val="24"/>
        </w:rPr>
        <w:t>I would be happy to answer any questions you may have.</w:t>
      </w:r>
    </w:p>
    <w:p w:rsidR="00C97A48" w:rsidRPr="00087917" w:rsidRDefault="00C97A48" w:rsidP="009B7E22">
      <w:pPr>
        <w:ind w:firstLine="720"/>
        <w:rPr>
          <w:sz w:val="24"/>
          <w:szCs w:val="24"/>
        </w:rPr>
      </w:pPr>
    </w:p>
    <w:p w:rsidR="00A3678D" w:rsidRPr="00087917" w:rsidRDefault="00A3678D" w:rsidP="009B7E22">
      <w:pPr>
        <w:ind w:firstLine="720"/>
        <w:rPr>
          <w:sz w:val="24"/>
          <w:szCs w:val="24"/>
        </w:rPr>
      </w:pPr>
    </w:p>
    <w:p w:rsidR="00806CAB" w:rsidRPr="00087917" w:rsidRDefault="00806CAB" w:rsidP="009B7E22">
      <w:pPr>
        <w:ind w:firstLine="720"/>
        <w:rPr>
          <w:sz w:val="24"/>
          <w:szCs w:val="24"/>
        </w:rPr>
      </w:pPr>
    </w:p>
    <w:sectPr w:rsidR="00806CAB" w:rsidRPr="00087917" w:rsidSect="00BA0437">
      <w:footerReference w:type="even" r:id="rId8"/>
      <w:footerReference w:type="default" r:id="rId9"/>
      <w:pgSz w:w="12240" w:h="15840"/>
      <w:pgMar w:top="1440" w:right="1800" w:bottom="1440"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917" w:rsidRDefault="00087917">
      <w:r>
        <w:separator/>
      </w:r>
    </w:p>
  </w:endnote>
  <w:endnote w:type="continuationSeparator" w:id="0">
    <w:p w:rsidR="00087917" w:rsidRDefault="000879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17" w:rsidRDefault="006E26D2">
    <w:pPr>
      <w:pStyle w:val="Footer"/>
      <w:framePr w:wrap="around" w:vAnchor="text" w:hAnchor="margin" w:xAlign="right" w:y="1"/>
      <w:rPr>
        <w:rStyle w:val="PageNumber"/>
      </w:rPr>
    </w:pPr>
    <w:r>
      <w:rPr>
        <w:rStyle w:val="PageNumber"/>
      </w:rPr>
      <w:fldChar w:fldCharType="begin"/>
    </w:r>
    <w:r w:rsidR="00087917">
      <w:rPr>
        <w:rStyle w:val="PageNumber"/>
      </w:rPr>
      <w:instrText xml:space="preserve">PAGE  </w:instrText>
    </w:r>
    <w:r>
      <w:rPr>
        <w:rStyle w:val="PageNumber"/>
      </w:rPr>
      <w:fldChar w:fldCharType="end"/>
    </w:r>
  </w:p>
  <w:p w:rsidR="00087917" w:rsidRDefault="000879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17" w:rsidRDefault="006E26D2">
    <w:pPr>
      <w:pStyle w:val="Footer"/>
      <w:framePr w:wrap="around" w:vAnchor="text" w:hAnchor="margin" w:xAlign="right" w:y="1"/>
      <w:rPr>
        <w:rStyle w:val="PageNumber"/>
      </w:rPr>
    </w:pPr>
    <w:r>
      <w:rPr>
        <w:rStyle w:val="PageNumber"/>
      </w:rPr>
      <w:fldChar w:fldCharType="begin"/>
    </w:r>
    <w:r w:rsidR="00087917">
      <w:rPr>
        <w:rStyle w:val="PageNumber"/>
      </w:rPr>
      <w:instrText xml:space="preserve">PAGE  </w:instrText>
    </w:r>
    <w:r>
      <w:rPr>
        <w:rStyle w:val="PageNumber"/>
      </w:rPr>
      <w:fldChar w:fldCharType="separate"/>
    </w:r>
    <w:r w:rsidR="00F079F7">
      <w:rPr>
        <w:rStyle w:val="PageNumber"/>
        <w:noProof/>
      </w:rPr>
      <w:t>5</w:t>
    </w:r>
    <w:r>
      <w:rPr>
        <w:rStyle w:val="PageNumber"/>
      </w:rPr>
      <w:fldChar w:fldCharType="end"/>
    </w:r>
  </w:p>
  <w:p w:rsidR="00087917" w:rsidRDefault="00087917">
    <w:pPr>
      <w:pStyle w:val="Footer"/>
      <w:framePr w:wrap="around" w:vAnchor="text" w:hAnchor="margin" w:xAlign="right" w:y="1"/>
      <w:ind w:right="360"/>
      <w:rPr>
        <w:rStyle w:val="PageNumber"/>
      </w:rPr>
    </w:pPr>
  </w:p>
  <w:p w:rsidR="00087917" w:rsidRDefault="00087917">
    <w:pPr>
      <w:pStyle w:val="Footer"/>
      <w:framePr w:wrap="around" w:vAnchor="text" w:hAnchor="margin" w:xAlign="right" w:y="1"/>
      <w:ind w:right="360"/>
      <w:rPr>
        <w:rStyle w:val="PageNumber"/>
      </w:rPr>
    </w:pPr>
  </w:p>
  <w:p w:rsidR="00087917" w:rsidRDefault="00087917">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917" w:rsidRDefault="00087917">
      <w:r>
        <w:separator/>
      </w:r>
    </w:p>
  </w:footnote>
  <w:footnote w:type="continuationSeparator" w:id="0">
    <w:p w:rsidR="00087917" w:rsidRDefault="00087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2C8502"/>
    <w:lvl w:ilvl="0">
      <w:numFmt w:val="decimal"/>
      <w:lvlText w:val="*"/>
      <w:lvlJc w:val="left"/>
    </w:lvl>
  </w:abstractNum>
  <w:abstractNum w:abstractNumId="1">
    <w:nsid w:val="0466786A"/>
    <w:multiLevelType w:val="hybridMultilevel"/>
    <w:tmpl w:val="AD5C53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16B71DC"/>
    <w:multiLevelType w:val="hybridMultilevel"/>
    <w:tmpl w:val="AFFCF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4B0265"/>
    <w:multiLevelType w:val="hybridMultilevel"/>
    <w:tmpl w:val="432696C2"/>
    <w:lvl w:ilvl="0" w:tplc="89A63464">
      <w:start w:val="2"/>
      <w:numFmt w:val="lowerLetter"/>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736AEA"/>
    <w:multiLevelType w:val="hybridMultilevel"/>
    <w:tmpl w:val="54CEB90C"/>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800"/>
        </w:tabs>
        <w:ind w:left="1800" w:hanging="360"/>
      </w:pPr>
    </w:lvl>
    <w:lvl w:ilvl="2" w:tplc="0CEC2F06">
      <w:start w:val="1"/>
      <w:numFmt w:val="decimal"/>
      <w:lvlText w:val="%3."/>
      <w:lvlJc w:val="left"/>
      <w:pPr>
        <w:tabs>
          <w:tab w:val="num" w:pos="2700"/>
        </w:tabs>
        <w:ind w:left="2700" w:hanging="360"/>
      </w:pPr>
      <w:rPr>
        <w:rFonts w:hint="default"/>
      </w:rPr>
    </w:lvl>
    <w:lvl w:ilvl="3" w:tplc="88C6A58A">
      <w:start w:val="1"/>
      <w:numFmt w:val="lowerLetter"/>
      <w:lvlText w:val="%4."/>
      <w:lvlJc w:val="left"/>
      <w:pPr>
        <w:tabs>
          <w:tab w:val="num" w:pos="3780"/>
        </w:tabs>
        <w:ind w:left="3780" w:hanging="90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F8C002F"/>
    <w:multiLevelType w:val="hybridMultilevel"/>
    <w:tmpl w:val="5E00AD28"/>
    <w:lvl w:ilvl="0" w:tplc="3B36D9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820059"/>
    <w:multiLevelType w:val="hybridMultilevel"/>
    <w:tmpl w:val="62BA064E"/>
    <w:lvl w:ilvl="0" w:tplc="5360DBD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9294B3B"/>
    <w:multiLevelType w:val="hybridMultilevel"/>
    <w:tmpl w:val="C7B27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CD06D1"/>
    <w:multiLevelType w:val="hybridMultilevel"/>
    <w:tmpl w:val="2A602914"/>
    <w:lvl w:ilvl="0" w:tplc="2D988022">
      <w:start w:val="2"/>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305A14"/>
    <w:multiLevelType w:val="hybridMultilevel"/>
    <w:tmpl w:val="D2BC2022"/>
    <w:lvl w:ilvl="0" w:tplc="3B36D9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413834"/>
    <w:multiLevelType w:val="hybridMultilevel"/>
    <w:tmpl w:val="AC48E02C"/>
    <w:lvl w:ilvl="0" w:tplc="E144916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207D9E"/>
    <w:multiLevelType w:val="hybridMultilevel"/>
    <w:tmpl w:val="C9F0ADD0"/>
    <w:lvl w:ilvl="0" w:tplc="ABFE9A6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E750C4"/>
    <w:multiLevelType w:val="hybridMultilevel"/>
    <w:tmpl w:val="8AB279DC"/>
    <w:lvl w:ilvl="0" w:tplc="3B36D9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3F6DB0"/>
    <w:multiLevelType w:val="hybridMultilevel"/>
    <w:tmpl w:val="8B66601A"/>
    <w:lvl w:ilvl="0" w:tplc="E144916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A02A01"/>
    <w:multiLevelType w:val="hybridMultilevel"/>
    <w:tmpl w:val="66625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8955D1"/>
    <w:multiLevelType w:val="hybridMultilevel"/>
    <w:tmpl w:val="1200F9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79D112A"/>
    <w:multiLevelType w:val="hybridMultilevel"/>
    <w:tmpl w:val="5F106F7C"/>
    <w:lvl w:ilvl="0" w:tplc="3B36D9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935B46"/>
    <w:multiLevelType w:val="hybridMultilevel"/>
    <w:tmpl w:val="ADDEBBAA"/>
    <w:lvl w:ilvl="0" w:tplc="CACED8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15334C"/>
    <w:multiLevelType w:val="hybridMultilevel"/>
    <w:tmpl w:val="FDF4FF2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2E4397"/>
    <w:multiLevelType w:val="hybridMultilevel"/>
    <w:tmpl w:val="6F7EBE44"/>
    <w:lvl w:ilvl="0" w:tplc="3B36D9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36666F"/>
    <w:multiLevelType w:val="hybridMultilevel"/>
    <w:tmpl w:val="F0242876"/>
    <w:lvl w:ilvl="0" w:tplc="04090001">
      <w:start w:val="1"/>
      <w:numFmt w:val="bullet"/>
      <w:lvlText w:val=""/>
      <w:lvlJc w:val="left"/>
      <w:pPr>
        <w:tabs>
          <w:tab w:val="num" w:pos="360"/>
        </w:tabs>
        <w:ind w:left="360" w:hanging="360"/>
      </w:pPr>
      <w:rPr>
        <w:rFonts w:ascii="Symbol" w:hAnsi="Symbol" w:hint="default"/>
      </w:rPr>
    </w:lvl>
    <w:lvl w:ilvl="1" w:tplc="C7325848">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F13A94"/>
    <w:multiLevelType w:val="hybridMultilevel"/>
    <w:tmpl w:val="5DE82436"/>
    <w:lvl w:ilvl="0" w:tplc="3B36D9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E7307AC"/>
    <w:multiLevelType w:val="hybridMultilevel"/>
    <w:tmpl w:val="010A4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6D092B"/>
    <w:multiLevelType w:val="hybridMultilevel"/>
    <w:tmpl w:val="DA440238"/>
    <w:lvl w:ilvl="0" w:tplc="3B36D9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1D4D04"/>
    <w:multiLevelType w:val="hybridMultilevel"/>
    <w:tmpl w:val="ACF83A9C"/>
    <w:lvl w:ilvl="0" w:tplc="3B36D9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EE0E08"/>
    <w:multiLevelType w:val="hybridMultilevel"/>
    <w:tmpl w:val="178A8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805A26"/>
    <w:multiLevelType w:val="hybridMultilevel"/>
    <w:tmpl w:val="63EE180E"/>
    <w:lvl w:ilvl="0" w:tplc="B720BE8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D7D781B"/>
    <w:multiLevelType w:val="hybridMultilevel"/>
    <w:tmpl w:val="8CE6CBE8"/>
    <w:lvl w:ilvl="0" w:tplc="62584E26">
      <w:start w:val="8"/>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DD64AE0"/>
    <w:multiLevelType w:val="hybridMultilevel"/>
    <w:tmpl w:val="5E30D198"/>
    <w:lvl w:ilvl="0" w:tplc="AA02AD72">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8"/>
  </w:num>
  <w:num w:numId="4">
    <w:abstractNumId w:val="4"/>
  </w:num>
  <w:num w:numId="5">
    <w:abstractNumId w:val="15"/>
  </w:num>
  <w:num w:numId="6">
    <w:abstractNumId w:val="14"/>
  </w:num>
  <w:num w:numId="7">
    <w:abstractNumId w:val="1"/>
  </w:num>
  <w:num w:numId="8">
    <w:abstractNumId w:val="18"/>
  </w:num>
  <w:num w:numId="9">
    <w:abstractNumId w:val="20"/>
  </w:num>
  <w:num w:numId="10">
    <w:abstractNumId w:val="6"/>
  </w:num>
  <w:num w:numId="11">
    <w:abstractNumId w:val="8"/>
  </w:num>
  <w:num w:numId="12">
    <w:abstractNumId w:val="3"/>
  </w:num>
  <w:num w:numId="13">
    <w:abstractNumId w:val="17"/>
  </w:num>
  <w:num w:numId="14">
    <w:abstractNumId w:val="7"/>
  </w:num>
  <w:num w:numId="15">
    <w:abstractNumId w:val="25"/>
  </w:num>
  <w:num w:numId="16">
    <w:abstractNumId w:val="22"/>
  </w:num>
  <w:num w:numId="17">
    <w:abstractNumId w:val="26"/>
  </w:num>
  <w:num w:numId="18">
    <w:abstractNumId w:val="27"/>
  </w:num>
  <w:num w:numId="19">
    <w:abstractNumId w:val="21"/>
  </w:num>
  <w:num w:numId="20">
    <w:abstractNumId w:val="5"/>
  </w:num>
  <w:num w:numId="21">
    <w:abstractNumId w:val="2"/>
  </w:num>
  <w:num w:numId="22">
    <w:abstractNumId w:val="10"/>
  </w:num>
  <w:num w:numId="23">
    <w:abstractNumId w:val="19"/>
  </w:num>
  <w:num w:numId="24">
    <w:abstractNumId w:val="13"/>
  </w:num>
  <w:num w:numId="25">
    <w:abstractNumId w:val="23"/>
  </w:num>
  <w:num w:numId="26">
    <w:abstractNumId w:val="12"/>
  </w:num>
  <w:num w:numId="27">
    <w:abstractNumId w:val="9"/>
  </w:num>
  <w:num w:numId="28">
    <w:abstractNumId w:val="24"/>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447B1D"/>
    <w:rsid w:val="000130C8"/>
    <w:rsid w:val="00032FF9"/>
    <w:rsid w:val="00035055"/>
    <w:rsid w:val="00043464"/>
    <w:rsid w:val="00077D3E"/>
    <w:rsid w:val="00083639"/>
    <w:rsid w:val="00087917"/>
    <w:rsid w:val="000D172A"/>
    <w:rsid w:val="000D4409"/>
    <w:rsid w:val="000F1FC7"/>
    <w:rsid w:val="001047A7"/>
    <w:rsid w:val="00116D57"/>
    <w:rsid w:val="00124EDB"/>
    <w:rsid w:val="001B0CFF"/>
    <w:rsid w:val="001B67D9"/>
    <w:rsid w:val="001D4430"/>
    <w:rsid w:val="001E0AE6"/>
    <w:rsid w:val="00205899"/>
    <w:rsid w:val="00211409"/>
    <w:rsid w:val="002371EF"/>
    <w:rsid w:val="00241B4A"/>
    <w:rsid w:val="00250A33"/>
    <w:rsid w:val="0025194C"/>
    <w:rsid w:val="002606F6"/>
    <w:rsid w:val="0027257D"/>
    <w:rsid w:val="002A441C"/>
    <w:rsid w:val="002C3EFE"/>
    <w:rsid w:val="002F1553"/>
    <w:rsid w:val="002F1C54"/>
    <w:rsid w:val="00313207"/>
    <w:rsid w:val="003265DA"/>
    <w:rsid w:val="0034701F"/>
    <w:rsid w:val="00375A1E"/>
    <w:rsid w:val="00396656"/>
    <w:rsid w:val="00396E30"/>
    <w:rsid w:val="003D3057"/>
    <w:rsid w:val="00403A98"/>
    <w:rsid w:val="004146B5"/>
    <w:rsid w:val="00446332"/>
    <w:rsid w:val="00447B1D"/>
    <w:rsid w:val="00471556"/>
    <w:rsid w:val="00474B4D"/>
    <w:rsid w:val="00496F26"/>
    <w:rsid w:val="004B7741"/>
    <w:rsid w:val="004D117B"/>
    <w:rsid w:val="004E5F0F"/>
    <w:rsid w:val="0057547F"/>
    <w:rsid w:val="00577964"/>
    <w:rsid w:val="005917FC"/>
    <w:rsid w:val="005A313C"/>
    <w:rsid w:val="005B7FF5"/>
    <w:rsid w:val="005C4B99"/>
    <w:rsid w:val="005D4EA6"/>
    <w:rsid w:val="005D6EBF"/>
    <w:rsid w:val="005E29BC"/>
    <w:rsid w:val="005F0F6C"/>
    <w:rsid w:val="00603013"/>
    <w:rsid w:val="00613B93"/>
    <w:rsid w:val="0062341C"/>
    <w:rsid w:val="00625328"/>
    <w:rsid w:val="00654866"/>
    <w:rsid w:val="00661640"/>
    <w:rsid w:val="00677E5C"/>
    <w:rsid w:val="0069144B"/>
    <w:rsid w:val="006A3FE1"/>
    <w:rsid w:val="006A61A2"/>
    <w:rsid w:val="006B4FD5"/>
    <w:rsid w:val="006B4FFD"/>
    <w:rsid w:val="006D4EBC"/>
    <w:rsid w:val="006E26D2"/>
    <w:rsid w:val="006F1446"/>
    <w:rsid w:val="006F67E7"/>
    <w:rsid w:val="00701953"/>
    <w:rsid w:val="00780B1A"/>
    <w:rsid w:val="00791FD0"/>
    <w:rsid w:val="007964DF"/>
    <w:rsid w:val="007A746D"/>
    <w:rsid w:val="007D350E"/>
    <w:rsid w:val="007F35A1"/>
    <w:rsid w:val="00806CAB"/>
    <w:rsid w:val="0082018B"/>
    <w:rsid w:val="00832096"/>
    <w:rsid w:val="00856A75"/>
    <w:rsid w:val="008750D0"/>
    <w:rsid w:val="008A2027"/>
    <w:rsid w:val="008B5900"/>
    <w:rsid w:val="008E57F8"/>
    <w:rsid w:val="008F16C2"/>
    <w:rsid w:val="008F4522"/>
    <w:rsid w:val="0090481E"/>
    <w:rsid w:val="00915040"/>
    <w:rsid w:val="00915276"/>
    <w:rsid w:val="00943B1D"/>
    <w:rsid w:val="009508F1"/>
    <w:rsid w:val="00977FCE"/>
    <w:rsid w:val="00981EFC"/>
    <w:rsid w:val="009B7E22"/>
    <w:rsid w:val="009D7C64"/>
    <w:rsid w:val="00A07F43"/>
    <w:rsid w:val="00A3678D"/>
    <w:rsid w:val="00A40055"/>
    <w:rsid w:val="00A45A77"/>
    <w:rsid w:val="00A72A00"/>
    <w:rsid w:val="00A8220D"/>
    <w:rsid w:val="00AF19A9"/>
    <w:rsid w:val="00AF5F3C"/>
    <w:rsid w:val="00B1301B"/>
    <w:rsid w:val="00B16406"/>
    <w:rsid w:val="00B275E8"/>
    <w:rsid w:val="00B34A33"/>
    <w:rsid w:val="00B352CC"/>
    <w:rsid w:val="00B66E28"/>
    <w:rsid w:val="00B67201"/>
    <w:rsid w:val="00B7765E"/>
    <w:rsid w:val="00B832E0"/>
    <w:rsid w:val="00BA0437"/>
    <w:rsid w:val="00BD384C"/>
    <w:rsid w:val="00BD6A2E"/>
    <w:rsid w:val="00C06B8B"/>
    <w:rsid w:val="00C35D31"/>
    <w:rsid w:val="00C444E7"/>
    <w:rsid w:val="00C5569C"/>
    <w:rsid w:val="00C6473C"/>
    <w:rsid w:val="00C75924"/>
    <w:rsid w:val="00C85E16"/>
    <w:rsid w:val="00C97A48"/>
    <w:rsid w:val="00CA045C"/>
    <w:rsid w:val="00CC2A09"/>
    <w:rsid w:val="00CC7382"/>
    <w:rsid w:val="00CD3279"/>
    <w:rsid w:val="00D277D2"/>
    <w:rsid w:val="00D71071"/>
    <w:rsid w:val="00D7141F"/>
    <w:rsid w:val="00D8192C"/>
    <w:rsid w:val="00D947A1"/>
    <w:rsid w:val="00DD0E4E"/>
    <w:rsid w:val="00DE5EC6"/>
    <w:rsid w:val="00E00E57"/>
    <w:rsid w:val="00E118F2"/>
    <w:rsid w:val="00E309D1"/>
    <w:rsid w:val="00E55FE8"/>
    <w:rsid w:val="00E75F29"/>
    <w:rsid w:val="00E85C23"/>
    <w:rsid w:val="00E9030F"/>
    <w:rsid w:val="00EA511D"/>
    <w:rsid w:val="00EA771C"/>
    <w:rsid w:val="00EC03D0"/>
    <w:rsid w:val="00EC05E9"/>
    <w:rsid w:val="00EC0E5E"/>
    <w:rsid w:val="00ED5252"/>
    <w:rsid w:val="00ED5AF8"/>
    <w:rsid w:val="00EE3620"/>
    <w:rsid w:val="00EE3C0E"/>
    <w:rsid w:val="00EE6CFF"/>
    <w:rsid w:val="00F0212C"/>
    <w:rsid w:val="00F079F7"/>
    <w:rsid w:val="00F2280D"/>
    <w:rsid w:val="00F475C3"/>
    <w:rsid w:val="00F513E3"/>
    <w:rsid w:val="00FA7F0F"/>
    <w:rsid w:val="00FB59A1"/>
    <w:rsid w:val="00FE39BA"/>
    <w:rsid w:val="00FE5B41"/>
    <w:rsid w:val="00FF0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437"/>
    <w:pPr>
      <w:overflowPunct w:val="0"/>
      <w:autoSpaceDE w:val="0"/>
      <w:autoSpaceDN w:val="0"/>
      <w:adjustRightInd w:val="0"/>
      <w:textAlignment w:val="baseline"/>
    </w:pPr>
  </w:style>
  <w:style w:type="paragraph" w:styleId="Heading1">
    <w:name w:val="heading 1"/>
    <w:basedOn w:val="Normal"/>
    <w:next w:val="Normal"/>
    <w:qFormat/>
    <w:rsid w:val="00BA0437"/>
    <w:pPr>
      <w:keepNext/>
      <w:jc w:val="center"/>
      <w:outlineLvl w:val="0"/>
    </w:pPr>
    <w:rPr>
      <w:b/>
    </w:rPr>
  </w:style>
  <w:style w:type="paragraph" w:styleId="Heading2">
    <w:name w:val="heading 2"/>
    <w:basedOn w:val="Normal"/>
    <w:next w:val="Normal"/>
    <w:qFormat/>
    <w:rsid w:val="00BA0437"/>
    <w:pPr>
      <w:keepNext/>
      <w:outlineLvl w:val="1"/>
    </w:pPr>
    <w:rPr>
      <w:sz w:val="24"/>
      <w:u w:val="single"/>
    </w:rPr>
  </w:style>
  <w:style w:type="paragraph" w:styleId="Heading3">
    <w:name w:val="heading 3"/>
    <w:basedOn w:val="Normal"/>
    <w:next w:val="Normal"/>
    <w:qFormat/>
    <w:rsid w:val="00BA0437"/>
    <w:pPr>
      <w:keepNext/>
      <w:outlineLvl w:val="2"/>
    </w:pPr>
    <w:rPr>
      <w:b/>
      <w:bCs/>
      <w:color w:val="000000"/>
    </w:rPr>
  </w:style>
  <w:style w:type="paragraph" w:styleId="Heading4">
    <w:name w:val="heading 4"/>
    <w:basedOn w:val="Normal"/>
    <w:next w:val="Normal"/>
    <w:qFormat/>
    <w:rsid w:val="00BA0437"/>
    <w:pPr>
      <w:keepNext/>
      <w:jc w:val="center"/>
      <w:outlineLvl w:val="3"/>
    </w:pPr>
    <w:rPr>
      <w:b/>
      <w:bCs/>
      <w:color w:val="000000"/>
      <w:u w:val="single"/>
    </w:rPr>
  </w:style>
  <w:style w:type="paragraph" w:styleId="Heading5">
    <w:name w:val="heading 5"/>
    <w:basedOn w:val="Normal"/>
    <w:next w:val="Normal"/>
    <w:qFormat/>
    <w:rsid w:val="00BA0437"/>
    <w:pPr>
      <w:keepNext/>
      <w:ind w:left="720"/>
      <w:outlineLvl w:val="4"/>
    </w:pPr>
    <w:rPr>
      <w:sz w:val="24"/>
    </w:rPr>
  </w:style>
  <w:style w:type="paragraph" w:styleId="Heading6">
    <w:name w:val="heading 6"/>
    <w:basedOn w:val="Normal"/>
    <w:next w:val="Normal"/>
    <w:qFormat/>
    <w:rsid w:val="00BA0437"/>
    <w:pPr>
      <w:keepNext/>
      <w:outlineLvl w:val="5"/>
    </w:pPr>
    <w:rPr>
      <w:u w:val="single"/>
    </w:rPr>
  </w:style>
  <w:style w:type="paragraph" w:styleId="Heading7">
    <w:name w:val="heading 7"/>
    <w:basedOn w:val="Normal"/>
    <w:next w:val="Normal"/>
    <w:qFormat/>
    <w:rsid w:val="00BA0437"/>
    <w:pPr>
      <w:keepNext/>
      <w:spacing w:before="120"/>
      <w:ind w:left="720" w:right="-990"/>
      <w:jc w:val="center"/>
      <w:outlineLvl w:val="6"/>
    </w:pPr>
    <w:rPr>
      <w:sz w:val="24"/>
    </w:rPr>
  </w:style>
  <w:style w:type="paragraph" w:styleId="Heading8">
    <w:name w:val="heading 8"/>
    <w:basedOn w:val="Normal"/>
    <w:next w:val="Normal"/>
    <w:qFormat/>
    <w:rsid w:val="00BA0437"/>
    <w:pPr>
      <w:keepNext/>
      <w:spacing w:before="120"/>
      <w:ind w:left="720" w:right="-990"/>
      <w:jc w:val="center"/>
      <w:outlineLvl w:val="7"/>
    </w:pPr>
    <w:rPr>
      <w:b/>
      <w:bCs/>
      <w:sz w:val="28"/>
    </w:rPr>
  </w:style>
  <w:style w:type="paragraph" w:styleId="Heading9">
    <w:name w:val="heading 9"/>
    <w:basedOn w:val="Normal"/>
    <w:next w:val="Normal"/>
    <w:qFormat/>
    <w:rsid w:val="00BA0437"/>
    <w:pPr>
      <w:keepNext/>
      <w:ind w:left="720" w:right="-99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0437"/>
    <w:rPr>
      <w:sz w:val="24"/>
    </w:rPr>
  </w:style>
  <w:style w:type="paragraph" w:styleId="HTMLPreformatted">
    <w:name w:val="HTML Preformatted"/>
    <w:basedOn w:val="Normal"/>
    <w:rsid w:val="00BA0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BodyText2">
    <w:name w:val="Body Text 2"/>
    <w:basedOn w:val="Normal"/>
    <w:rsid w:val="00BA0437"/>
    <w:rPr>
      <w:color w:val="000000"/>
      <w:sz w:val="24"/>
    </w:rPr>
  </w:style>
  <w:style w:type="paragraph" w:styleId="BodyTextIndent">
    <w:name w:val="Body Text Indent"/>
    <w:basedOn w:val="Normal"/>
    <w:rsid w:val="00BA0437"/>
    <w:pPr>
      <w:ind w:left="1440"/>
    </w:pPr>
    <w:rPr>
      <w:sz w:val="24"/>
    </w:rPr>
  </w:style>
  <w:style w:type="paragraph" w:styleId="Footer">
    <w:name w:val="footer"/>
    <w:basedOn w:val="Normal"/>
    <w:rsid w:val="00BA0437"/>
    <w:pPr>
      <w:tabs>
        <w:tab w:val="center" w:pos="4320"/>
        <w:tab w:val="right" w:pos="8640"/>
      </w:tabs>
    </w:pPr>
  </w:style>
  <w:style w:type="character" w:styleId="PageNumber">
    <w:name w:val="page number"/>
    <w:basedOn w:val="DefaultParagraphFont"/>
    <w:rsid w:val="00BA0437"/>
  </w:style>
  <w:style w:type="paragraph" w:styleId="BodyTextIndent2">
    <w:name w:val="Body Text Indent 2"/>
    <w:basedOn w:val="Normal"/>
    <w:rsid w:val="00BA0437"/>
    <w:pPr>
      <w:ind w:firstLine="720"/>
    </w:pPr>
    <w:rPr>
      <w:sz w:val="24"/>
    </w:rPr>
  </w:style>
  <w:style w:type="paragraph" w:styleId="BodyText3">
    <w:name w:val="Body Text 3"/>
    <w:basedOn w:val="Normal"/>
    <w:rsid w:val="00BA0437"/>
    <w:pPr>
      <w:overflowPunct/>
      <w:autoSpaceDE/>
      <w:autoSpaceDN/>
      <w:adjustRightInd/>
      <w:textAlignment w:val="auto"/>
    </w:pPr>
    <w:rPr>
      <w:b/>
      <w:bCs/>
      <w:color w:val="000000"/>
      <w:sz w:val="24"/>
      <w:szCs w:val="24"/>
    </w:rPr>
  </w:style>
  <w:style w:type="paragraph" w:styleId="Title">
    <w:name w:val="Title"/>
    <w:basedOn w:val="Normal"/>
    <w:qFormat/>
    <w:rsid w:val="00BA0437"/>
    <w:pPr>
      <w:overflowPunct/>
      <w:autoSpaceDE/>
      <w:autoSpaceDN/>
      <w:adjustRightInd/>
      <w:jc w:val="center"/>
      <w:textAlignment w:val="auto"/>
    </w:pPr>
    <w:rPr>
      <w:b/>
      <w:bCs/>
      <w:sz w:val="24"/>
      <w:szCs w:val="24"/>
    </w:rPr>
  </w:style>
  <w:style w:type="paragraph" w:styleId="Header">
    <w:name w:val="header"/>
    <w:basedOn w:val="Normal"/>
    <w:rsid w:val="00BA0437"/>
    <w:pPr>
      <w:tabs>
        <w:tab w:val="center" w:pos="4320"/>
        <w:tab w:val="right" w:pos="8640"/>
      </w:tabs>
    </w:pPr>
  </w:style>
  <w:style w:type="paragraph" w:styleId="DocumentMap">
    <w:name w:val="Document Map"/>
    <w:basedOn w:val="Normal"/>
    <w:semiHidden/>
    <w:rsid w:val="00BA0437"/>
    <w:pPr>
      <w:shd w:val="clear" w:color="auto" w:fill="000080"/>
    </w:pPr>
    <w:rPr>
      <w:rFonts w:ascii="Tahoma" w:hAnsi="Tahoma" w:cs="Tahoma"/>
    </w:rPr>
  </w:style>
  <w:style w:type="paragraph" w:styleId="List">
    <w:name w:val="List"/>
    <w:basedOn w:val="Normal"/>
    <w:rsid w:val="00BA0437"/>
    <w:pPr>
      <w:ind w:left="360" w:hanging="360"/>
    </w:pPr>
  </w:style>
  <w:style w:type="paragraph" w:styleId="Date">
    <w:name w:val="Date"/>
    <w:basedOn w:val="Normal"/>
    <w:next w:val="Normal"/>
    <w:rsid w:val="00BA0437"/>
  </w:style>
  <w:style w:type="paragraph" w:styleId="BlockText">
    <w:name w:val="Block Text"/>
    <w:basedOn w:val="Normal"/>
    <w:rsid w:val="00BA0437"/>
    <w:pPr>
      <w:ind w:left="720" w:right="-990" w:firstLine="720"/>
    </w:pPr>
    <w:rPr>
      <w:sz w:val="24"/>
    </w:rPr>
  </w:style>
  <w:style w:type="paragraph" w:styleId="BodyTextIndent3">
    <w:name w:val="Body Text Indent 3"/>
    <w:basedOn w:val="Normal"/>
    <w:rsid w:val="00BA0437"/>
    <w:pPr>
      <w:ind w:right="-994" w:firstLine="720"/>
    </w:pPr>
    <w:rPr>
      <w:sz w:val="24"/>
    </w:rPr>
  </w:style>
  <w:style w:type="paragraph" w:styleId="Subtitle">
    <w:name w:val="Subtitle"/>
    <w:basedOn w:val="Normal"/>
    <w:qFormat/>
    <w:rsid w:val="00BA0437"/>
    <w:pPr>
      <w:ind w:right="-450" w:firstLine="360"/>
    </w:pPr>
    <w:rPr>
      <w:b/>
      <w:bCs/>
      <w:sz w:val="24"/>
    </w:rPr>
  </w:style>
  <w:style w:type="paragraph" w:styleId="EndnoteText">
    <w:name w:val="endnote text"/>
    <w:basedOn w:val="Normal"/>
    <w:semiHidden/>
    <w:rsid w:val="00BA0437"/>
    <w:pPr>
      <w:widowControl w:val="0"/>
    </w:pPr>
    <w:rPr>
      <w:spacing w:val="-3"/>
      <w:sz w:val="24"/>
    </w:rPr>
  </w:style>
  <w:style w:type="paragraph" w:styleId="BalloonText">
    <w:name w:val="Balloon Text"/>
    <w:basedOn w:val="Normal"/>
    <w:semiHidden/>
    <w:rsid w:val="00BA0437"/>
    <w:rPr>
      <w:rFonts w:ascii="Tahoma" w:hAnsi="Tahoma" w:cs="Tahoma"/>
      <w:sz w:val="16"/>
      <w:szCs w:val="16"/>
    </w:rPr>
  </w:style>
  <w:style w:type="paragraph" w:styleId="ListParagraph">
    <w:name w:val="List Paragraph"/>
    <w:basedOn w:val="Normal"/>
    <w:uiPriority w:val="34"/>
    <w:qFormat/>
    <w:rsid w:val="009B7E22"/>
    <w:pPr>
      <w:ind w:left="720"/>
      <w:contextualSpacing/>
    </w:pPr>
  </w:style>
  <w:style w:type="character" w:styleId="CommentReference">
    <w:name w:val="annotation reference"/>
    <w:basedOn w:val="DefaultParagraphFont"/>
    <w:rsid w:val="0057547F"/>
    <w:rPr>
      <w:sz w:val="16"/>
      <w:szCs w:val="16"/>
    </w:rPr>
  </w:style>
  <w:style w:type="paragraph" w:styleId="CommentText">
    <w:name w:val="annotation text"/>
    <w:basedOn w:val="Normal"/>
    <w:link w:val="CommentTextChar"/>
    <w:rsid w:val="0057547F"/>
  </w:style>
  <w:style w:type="character" w:customStyle="1" w:styleId="CommentTextChar">
    <w:name w:val="Comment Text Char"/>
    <w:basedOn w:val="DefaultParagraphFont"/>
    <w:link w:val="CommentText"/>
    <w:rsid w:val="0057547F"/>
  </w:style>
  <w:style w:type="paragraph" w:styleId="CommentSubject">
    <w:name w:val="annotation subject"/>
    <w:basedOn w:val="CommentText"/>
    <w:next w:val="CommentText"/>
    <w:link w:val="CommentSubjectChar"/>
    <w:rsid w:val="0057547F"/>
    <w:rPr>
      <w:b/>
      <w:bCs/>
    </w:rPr>
  </w:style>
  <w:style w:type="character" w:customStyle="1" w:styleId="CommentSubjectChar">
    <w:name w:val="Comment Subject Char"/>
    <w:basedOn w:val="CommentTextChar"/>
    <w:link w:val="CommentSubject"/>
    <w:rsid w:val="005754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437"/>
    <w:pPr>
      <w:overflowPunct w:val="0"/>
      <w:autoSpaceDE w:val="0"/>
      <w:autoSpaceDN w:val="0"/>
      <w:adjustRightInd w:val="0"/>
      <w:textAlignment w:val="baseline"/>
    </w:pPr>
  </w:style>
  <w:style w:type="paragraph" w:styleId="Heading1">
    <w:name w:val="heading 1"/>
    <w:basedOn w:val="Normal"/>
    <w:next w:val="Normal"/>
    <w:qFormat/>
    <w:rsid w:val="00BA0437"/>
    <w:pPr>
      <w:keepNext/>
      <w:jc w:val="center"/>
      <w:outlineLvl w:val="0"/>
    </w:pPr>
    <w:rPr>
      <w:b/>
    </w:rPr>
  </w:style>
  <w:style w:type="paragraph" w:styleId="Heading2">
    <w:name w:val="heading 2"/>
    <w:basedOn w:val="Normal"/>
    <w:next w:val="Normal"/>
    <w:qFormat/>
    <w:rsid w:val="00BA0437"/>
    <w:pPr>
      <w:keepNext/>
      <w:outlineLvl w:val="1"/>
    </w:pPr>
    <w:rPr>
      <w:sz w:val="24"/>
      <w:u w:val="single"/>
    </w:rPr>
  </w:style>
  <w:style w:type="paragraph" w:styleId="Heading3">
    <w:name w:val="heading 3"/>
    <w:basedOn w:val="Normal"/>
    <w:next w:val="Normal"/>
    <w:qFormat/>
    <w:rsid w:val="00BA0437"/>
    <w:pPr>
      <w:keepNext/>
      <w:outlineLvl w:val="2"/>
    </w:pPr>
    <w:rPr>
      <w:b/>
      <w:bCs/>
      <w:color w:val="000000"/>
    </w:rPr>
  </w:style>
  <w:style w:type="paragraph" w:styleId="Heading4">
    <w:name w:val="heading 4"/>
    <w:basedOn w:val="Normal"/>
    <w:next w:val="Normal"/>
    <w:qFormat/>
    <w:rsid w:val="00BA0437"/>
    <w:pPr>
      <w:keepNext/>
      <w:jc w:val="center"/>
      <w:outlineLvl w:val="3"/>
    </w:pPr>
    <w:rPr>
      <w:b/>
      <w:bCs/>
      <w:color w:val="000000"/>
      <w:u w:val="single"/>
    </w:rPr>
  </w:style>
  <w:style w:type="paragraph" w:styleId="Heading5">
    <w:name w:val="heading 5"/>
    <w:basedOn w:val="Normal"/>
    <w:next w:val="Normal"/>
    <w:qFormat/>
    <w:rsid w:val="00BA0437"/>
    <w:pPr>
      <w:keepNext/>
      <w:ind w:left="720"/>
      <w:outlineLvl w:val="4"/>
    </w:pPr>
    <w:rPr>
      <w:sz w:val="24"/>
    </w:rPr>
  </w:style>
  <w:style w:type="paragraph" w:styleId="Heading6">
    <w:name w:val="heading 6"/>
    <w:basedOn w:val="Normal"/>
    <w:next w:val="Normal"/>
    <w:qFormat/>
    <w:rsid w:val="00BA0437"/>
    <w:pPr>
      <w:keepNext/>
      <w:outlineLvl w:val="5"/>
    </w:pPr>
    <w:rPr>
      <w:u w:val="single"/>
    </w:rPr>
  </w:style>
  <w:style w:type="paragraph" w:styleId="Heading7">
    <w:name w:val="heading 7"/>
    <w:basedOn w:val="Normal"/>
    <w:next w:val="Normal"/>
    <w:qFormat/>
    <w:rsid w:val="00BA0437"/>
    <w:pPr>
      <w:keepNext/>
      <w:spacing w:before="120"/>
      <w:ind w:left="720" w:right="-990"/>
      <w:jc w:val="center"/>
      <w:outlineLvl w:val="6"/>
    </w:pPr>
    <w:rPr>
      <w:sz w:val="24"/>
    </w:rPr>
  </w:style>
  <w:style w:type="paragraph" w:styleId="Heading8">
    <w:name w:val="heading 8"/>
    <w:basedOn w:val="Normal"/>
    <w:next w:val="Normal"/>
    <w:qFormat/>
    <w:rsid w:val="00BA0437"/>
    <w:pPr>
      <w:keepNext/>
      <w:spacing w:before="120"/>
      <w:ind w:left="720" w:right="-990"/>
      <w:jc w:val="center"/>
      <w:outlineLvl w:val="7"/>
    </w:pPr>
    <w:rPr>
      <w:b/>
      <w:bCs/>
      <w:sz w:val="28"/>
    </w:rPr>
  </w:style>
  <w:style w:type="paragraph" w:styleId="Heading9">
    <w:name w:val="heading 9"/>
    <w:basedOn w:val="Normal"/>
    <w:next w:val="Normal"/>
    <w:qFormat/>
    <w:rsid w:val="00BA0437"/>
    <w:pPr>
      <w:keepNext/>
      <w:ind w:left="720" w:right="-99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0437"/>
    <w:rPr>
      <w:sz w:val="24"/>
    </w:rPr>
  </w:style>
  <w:style w:type="paragraph" w:styleId="HTMLPreformatted">
    <w:name w:val="HTML Preformatted"/>
    <w:basedOn w:val="Normal"/>
    <w:rsid w:val="00BA0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BodyText2">
    <w:name w:val="Body Text 2"/>
    <w:basedOn w:val="Normal"/>
    <w:rsid w:val="00BA0437"/>
    <w:rPr>
      <w:color w:val="000000"/>
      <w:sz w:val="24"/>
    </w:rPr>
  </w:style>
  <w:style w:type="paragraph" w:styleId="BodyTextIndent">
    <w:name w:val="Body Text Indent"/>
    <w:basedOn w:val="Normal"/>
    <w:rsid w:val="00BA0437"/>
    <w:pPr>
      <w:ind w:left="1440"/>
    </w:pPr>
    <w:rPr>
      <w:sz w:val="24"/>
    </w:rPr>
  </w:style>
  <w:style w:type="paragraph" w:styleId="Footer">
    <w:name w:val="footer"/>
    <w:basedOn w:val="Normal"/>
    <w:rsid w:val="00BA0437"/>
    <w:pPr>
      <w:tabs>
        <w:tab w:val="center" w:pos="4320"/>
        <w:tab w:val="right" w:pos="8640"/>
      </w:tabs>
    </w:pPr>
  </w:style>
  <w:style w:type="character" w:styleId="PageNumber">
    <w:name w:val="page number"/>
    <w:basedOn w:val="DefaultParagraphFont"/>
    <w:rsid w:val="00BA0437"/>
  </w:style>
  <w:style w:type="paragraph" w:styleId="BodyTextIndent2">
    <w:name w:val="Body Text Indent 2"/>
    <w:basedOn w:val="Normal"/>
    <w:rsid w:val="00BA0437"/>
    <w:pPr>
      <w:ind w:firstLine="720"/>
    </w:pPr>
    <w:rPr>
      <w:sz w:val="24"/>
    </w:rPr>
  </w:style>
  <w:style w:type="paragraph" w:styleId="BodyText3">
    <w:name w:val="Body Text 3"/>
    <w:basedOn w:val="Normal"/>
    <w:rsid w:val="00BA0437"/>
    <w:pPr>
      <w:overflowPunct/>
      <w:autoSpaceDE/>
      <w:autoSpaceDN/>
      <w:adjustRightInd/>
      <w:textAlignment w:val="auto"/>
    </w:pPr>
    <w:rPr>
      <w:b/>
      <w:bCs/>
      <w:color w:val="000000"/>
      <w:sz w:val="24"/>
      <w:szCs w:val="24"/>
    </w:rPr>
  </w:style>
  <w:style w:type="paragraph" w:styleId="Title">
    <w:name w:val="Title"/>
    <w:basedOn w:val="Normal"/>
    <w:qFormat/>
    <w:rsid w:val="00BA0437"/>
    <w:pPr>
      <w:overflowPunct/>
      <w:autoSpaceDE/>
      <w:autoSpaceDN/>
      <w:adjustRightInd/>
      <w:jc w:val="center"/>
      <w:textAlignment w:val="auto"/>
    </w:pPr>
    <w:rPr>
      <w:b/>
      <w:bCs/>
      <w:sz w:val="24"/>
      <w:szCs w:val="24"/>
    </w:rPr>
  </w:style>
  <w:style w:type="paragraph" w:styleId="Header">
    <w:name w:val="header"/>
    <w:basedOn w:val="Normal"/>
    <w:rsid w:val="00BA0437"/>
    <w:pPr>
      <w:tabs>
        <w:tab w:val="center" w:pos="4320"/>
        <w:tab w:val="right" w:pos="8640"/>
      </w:tabs>
    </w:pPr>
  </w:style>
  <w:style w:type="paragraph" w:styleId="DocumentMap">
    <w:name w:val="Document Map"/>
    <w:basedOn w:val="Normal"/>
    <w:semiHidden/>
    <w:rsid w:val="00BA0437"/>
    <w:pPr>
      <w:shd w:val="clear" w:color="auto" w:fill="000080"/>
    </w:pPr>
    <w:rPr>
      <w:rFonts w:ascii="Tahoma" w:hAnsi="Tahoma" w:cs="Tahoma"/>
    </w:rPr>
  </w:style>
  <w:style w:type="paragraph" w:styleId="List">
    <w:name w:val="List"/>
    <w:basedOn w:val="Normal"/>
    <w:rsid w:val="00BA0437"/>
    <w:pPr>
      <w:ind w:left="360" w:hanging="360"/>
    </w:pPr>
  </w:style>
  <w:style w:type="paragraph" w:styleId="Date">
    <w:name w:val="Date"/>
    <w:basedOn w:val="Normal"/>
    <w:next w:val="Normal"/>
    <w:rsid w:val="00BA0437"/>
  </w:style>
  <w:style w:type="paragraph" w:styleId="BlockText">
    <w:name w:val="Block Text"/>
    <w:basedOn w:val="Normal"/>
    <w:rsid w:val="00BA0437"/>
    <w:pPr>
      <w:ind w:left="720" w:right="-990" w:firstLine="720"/>
    </w:pPr>
    <w:rPr>
      <w:sz w:val="24"/>
    </w:rPr>
  </w:style>
  <w:style w:type="paragraph" w:styleId="BodyTextIndent3">
    <w:name w:val="Body Text Indent 3"/>
    <w:basedOn w:val="Normal"/>
    <w:rsid w:val="00BA0437"/>
    <w:pPr>
      <w:ind w:right="-994" w:firstLine="720"/>
    </w:pPr>
    <w:rPr>
      <w:sz w:val="24"/>
    </w:rPr>
  </w:style>
  <w:style w:type="paragraph" w:styleId="Subtitle">
    <w:name w:val="Subtitle"/>
    <w:basedOn w:val="Normal"/>
    <w:qFormat/>
    <w:rsid w:val="00BA0437"/>
    <w:pPr>
      <w:ind w:right="-450" w:firstLine="360"/>
    </w:pPr>
    <w:rPr>
      <w:b/>
      <w:bCs/>
      <w:sz w:val="24"/>
    </w:rPr>
  </w:style>
  <w:style w:type="paragraph" w:styleId="EndnoteText">
    <w:name w:val="endnote text"/>
    <w:basedOn w:val="Normal"/>
    <w:semiHidden/>
    <w:rsid w:val="00BA0437"/>
    <w:pPr>
      <w:widowControl w:val="0"/>
    </w:pPr>
    <w:rPr>
      <w:spacing w:val="-3"/>
      <w:sz w:val="24"/>
    </w:rPr>
  </w:style>
  <w:style w:type="paragraph" w:styleId="BalloonText">
    <w:name w:val="Balloon Text"/>
    <w:basedOn w:val="Normal"/>
    <w:semiHidden/>
    <w:rsid w:val="00BA0437"/>
    <w:rPr>
      <w:rFonts w:ascii="Tahoma" w:hAnsi="Tahoma" w:cs="Tahoma"/>
      <w:sz w:val="16"/>
      <w:szCs w:val="16"/>
    </w:rPr>
  </w:style>
  <w:style w:type="paragraph" w:styleId="ListParagraph">
    <w:name w:val="List Paragraph"/>
    <w:basedOn w:val="Normal"/>
    <w:uiPriority w:val="34"/>
    <w:qFormat/>
    <w:rsid w:val="009B7E22"/>
    <w:pPr>
      <w:ind w:left="720"/>
      <w:contextualSpacing/>
    </w:pPr>
  </w:style>
  <w:style w:type="character" w:styleId="CommentReference">
    <w:name w:val="annotation reference"/>
    <w:basedOn w:val="DefaultParagraphFont"/>
    <w:rsid w:val="0057547F"/>
    <w:rPr>
      <w:sz w:val="16"/>
      <w:szCs w:val="16"/>
    </w:rPr>
  </w:style>
  <w:style w:type="paragraph" w:styleId="CommentText">
    <w:name w:val="annotation text"/>
    <w:basedOn w:val="Normal"/>
    <w:link w:val="CommentTextChar"/>
    <w:rsid w:val="0057547F"/>
  </w:style>
  <w:style w:type="character" w:customStyle="1" w:styleId="CommentTextChar">
    <w:name w:val="Comment Text Char"/>
    <w:basedOn w:val="DefaultParagraphFont"/>
    <w:link w:val="CommentText"/>
    <w:rsid w:val="0057547F"/>
  </w:style>
  <w:style w:type="paragraph" w:styleId="CommentSubject">
    <w:name w:val="annotation subject"/>
    <w:basedOn w:val="CommentText"/>
    <w:next w:val="CommentText"/>
    <w:link w:val="CommentSubjectChar"/>
    <w:rsid w:val="0057547F"/>
    <w:rPr>
      <w:b/>
      <w:bCs/>
    </w:rPr>
  </w:style>
  <w:style w:type="character" w:customStyle="1" w:styleId="CommentSubjectChar">
    <w:name w:val="Comment Subject Char"/>
    <w:basedOn w:val="CommentTextChar"/>
    <w:link w:val="CommentSubject"/>
    <w:rsid w:val="0057547F"/>
    <w:rPr>
      <w:b/>
      <w:bCs/>
    </w:rPr>
  </w:style>
</w:styles>
</file>

<file path=word/webSettings.xml><?xml version="1.0" encoding="utf-8"?>
<w:webSettings xmlns:r="http://schemas.openxmlformats.org/officeDocument/2006/relationships" xmlns:w="http://schemas.openxmlformats.org/wordprocessingml/2006/main">
  <w:divs>
    <w:div w:id="787814161">
      <w:bodyDiv w:val="1"/>
      <w:marLeft w:val="0"/>
      <w:marRight w:val="0"/>
      <w:marTop w:val="0"/>
      <w:marBottom w:val="0"/>
      <w:divBdr>
        <w:top w:val="none" w:sz="0" w:space="0" w:color="auto"/>
        <w:left w:val="none" w:sz="0" w:space="0" w:color="auto"/>
        <w:bottom w:val="none" w:sz="0" w:space="0" w:color="auto"/>
        <w:right w:val="none" w:sz="0" w:space="0" w:color="auto"/>
      </w:divBdr>
    </w:div>
    <w:div w:id="983781216">
      <w:bodyDiv w:val="1"/>
      <w:marLeft w:val="0"/>
      <w:marRight w:val="0"/>
      <w:marTop w:val="0"/>
      <w:marBottom w:val="0"/>
      <w:divBdr>
        <w:top w:val="none" w:sz="0" w:space="0" w:color="auto"/>
        <w:left w:val="none" w:sz="0" w:space="0" w:color="auto"/>
        <w:bottom w:val="none" w:sz="0" w:space="0" w:color="auto"/>
        <w:right w:val="none" w:sz="0" w:space="0" w:color="auto"/>
      </w:divBdr>
    </w:div>
    <w:div w:id="1110933099">
      <w:bodyDiv w:val="1"/>
      <w:marLeft w:val="0"/>
      <w:marRight w:val="0"/>
      <w:marTop w:val="0"/>
      <w:marBottom w:val="0"/>
      <w:divBdr>
        <w:top w:val="none" w:sz="0" w:space="0" w:color="auto"/>
        <w:left w:val="none" w:sz="0" w:space="0" w:color="auto"/>
        <w:bottom w:val="none" w:sz="0" w:space="0" w:color="auto"/>
        <w:right w:val="none" w:sz="0" w:space="0" w:color="auto"/>
      </w:divBdr>
    </w:div>
    <w:div w:id="1179000784">
      <w:bodyDiv w:val="1"/>
      <w:marLeft w:val="0"/>
      <w:marRight w:val="0"/>
      <w:marTop w:val="0"/>
      <w:marBottom w:val="0"/>
      <w:divBdr>
        <w:top w:val="none" w:sz="0" w:space="0" w:color="auto"/>
        <w:left w:val="none" w:sz="0" w:space="0" w:color="auto"/>
        <w:bottom w:val="none" w:sz="0" w:space="0" w:color="auto"/>
        <w:right w:val="none" w:sz="0" w:space="0" w:color="auto"/>
      </w:divBdr>
    </w:div>
    <w:div w:id="1290627748">
      <w:bodyDiv w:val="1"/>
      <w:marLeft w:val="0"/>
      <w:marRight w:val="0"/>
      <w:marTop w:val="0"/>
      <w:marBottom w:val="0"/>
      <w:divBdr>
        <w:top w:val="none" w:sz="0" w:space="0" w:color="auto"/>
        <w:left w:val="none" w:sz="0" w:space="0" w:color="auto"/>
        <w:bottom w:val="none" w:sz="0" w:space="0" w:color="auto"/>
        <w:right w:val="none" w:sz="0" w:space="0" w:color="auto"/>
      </w:divBdr>
    </w:div>
    <w:div w:id="1397162324">
      <w:bodyDiv w:val="1"/>
      <w:marLeft w:val="0"/>
      <w:marRight w:val="0"/>
      <w:marTop w:val="0"/>
      <w:marBottom w:val="0"/>
      <w:divBdr>
        <w:top w:val="none" w:sz="0" w:space="0" w:color="auto"/>
        <w:left w:val="none" w:sz="0" w:space="0" w:color="auto"/>
        <w:bottom w:val="none" w:sz="0" w:space="0" w:color="auto"/>
        <w:right w:val="none" w:sz="0" w:space="0" w:color="auto"/>
      </w:divBdr>
    </w:div>
    <w:div w:id="1488400290">
      <w:bodyDiv w:val="1"/>
      <w:marLeft w:val="0"/>
      <w:marRight w:val="0"/>
      <w:marTop w:val="0"/>
      <w:marBottom w:val="0"/>
      <w:divBdr>
        <w:top w:val="none" w:sz="0" w:space="0" w:color="auto"/>
        <w:left w:val="none" w:sz="0" w:space="0" w:color="auto"/>
        <w:bottom w:val="none" w:sz="0" w:space="0" w:color="auto"/>
        <w:right w:val="none" w:sz="0" w:space="0" w:color="auto"/>
      </w:divBdr>
    </w:div>
    <w:div w:id="15906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1824</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STATEMENT BEFORE THE SENATE COMMITTEE ON INDIAN AFFAIRS</vt:lpstr>
    </vt:vector>
  </TitlesOfParts>
  <Company>HUD</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BEFORE THE SENATE COMMITTEE ON INDIAN AFFAIRS</dc:title>
  <dc:creator>Edward V. Fagan</dc:creator>
  <cp:lastModifiedBy>atpotts</cp:lastModifiedBy>
  <cp:revision>5</cp:revision>
  <cp:lastPrinted>2012-04-04T18:31:00Z</cp:lastPrinted>
  <dcterms:created xsi:type="dcterms:W3CDTF">2012-04-11T13:41:00Z</dcterms:created>
  <dcterms:modified xsi:type="dcterms:W3CDTF">2012-04-11T14:50:00Z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58823336</vt:i4>
  </property>
  <property fmtid="{D5CDD505-2E9C-101B-9397-08002B2CF9AE}" pid="4" name="_EmailSubject">
    <vt:lpwstr>Budget Testimony</vt:lpwstr>
  </property>
  <property fmtid="{D5CDD505-2E9C-101B-9397-08002B2CF9AE}" pid="5" name="_AuthorEmail">
    <vt:lpwstr>Bernard.B.Fulton@hud.gov</vt:lpwstr>
  </property>
  <property fmtid="{D5CDD505-2E9C-101B-9397-08002B2CF9AE}" pid="6" name="_AuthorEmailDisplayName">
    <vt:lpwstr>Fulton, Bernard B</vt:lpwstr>
  </property>
  <property fmtid="{D5CDD505-2E9C-101B-9397-08002B2CF9AE}" pid="8" name="_PreviousAdHocReviewCycleID">
    <vt:i4>2016164602</vt:i4>
  </property>
</Properties>
</file>