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3274">
        <w:rPr>
          <w:rFonts w:ascii="Times New Roman" w:hAnsi="Times New Roman" w:cs="Times New Roman"/>
          <w:sz w:val="24"/>
          <w:szCs w:val="24"/>
        </w:rPr>
        <w:t>DEPARTMENT OF HEALTH AND HUMAN SERVICES</w:t>
      </w:r>
    </w:p>
    <w:p w:rsidR="00F81991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3274">
        <w:rPr>
          <w:rFonts w:ascii="Times New Roman" w:hAnsi="Times New Roman" w:cs="Times New Roman"/>
          <w:sz w:val="24"/>
          <w:szCs w:val="24"/>
        </w:rPr>
        <w:t>STATEMENT</w:t>
      </w: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3274">
        <w:rPr>
          <w:rFonts w:ascii="Times New Roman" w:hAnsi="Times New Roman" w:cs="Times New Roman"/>
          <w:sz w:val="24"/>
          <w:szCs w:val="24"/>
        </w:rPr>
        <w:t>OF</w:t>
      </w: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GRINNELL</w:t>
      </w:r>
    </w:p>
    <w:p w:rsidR="00F81991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DIRECTOR</w:t>
      </w:r>
    </w:p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HEALTH SERVICE</w:t>
      </w:r>
    </w:p>
    <w:p w:rsidR="00F81991" w:rsidRPr="00013274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3274">
        <w:rPr>
          <w:rFonts w:ascii="Times New Roman" w:hAnsi="Times New Roman" w:cs="Times New Roman"/>
          <w:sz w:val="24"/>
          <w:szCs w:val="24"/>
        </w:rPr>
        <w:t>BEFORE THE</w:t>
      </w: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3274">
        <w:rPr>
          <w:rFonts w:ascii="Times New Roman" w:hAnsi="Times New Roman" w:cs="Times New Roman"/>
          <w:sz w:val="24"/>
          <w:szCs w:val="24"/>
        </w:rPr>
        <w:t xml:space="preserve">UNITED STATES </w:t>
      </w:r>
      <w:r>
        <w:rPr>
          <w:rFonts w:ascii="Times New Roman" w:hAnsi="Times New Roman" w:cs="Times New Roman"/>
          <w:sz w:val="24"/>
          <w:szCs w:val="24"/>
        </w:rPr>
        <w:t>SENATE</w:t>
      </w: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3274">
        <w:rPr>
          <w:rFonts w:ascii="Times New Roman" w:hAnsi="Times New Roman" w:cs="Times New Roman"/>
          <w:sz w:val="24"/>
          <w:szCs w:val="24"/>
        </w:rPr>
        <w:t xml:space="preserve">COMMITTEE ON </w:t>
      </w:r>
      <w:r>
        <w:rPr>
          <w:rFonts w:ascii="Times New Roman" w:hAnsi="Times New Roman" w:cs="Times New Roman"/>
          <w:sz w:val="24"/>
          <w:szCs w:val="24"/>
        </w:rPr>
        <w:t>INDIAN AFFAIRS</w:t>
      </w: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OVERSIGHT HEARING </w:t>
      </w:r>
      <w:r w:rsidRPr="00013274">
        <w:rPr>
          <w:rFonts w:ascii="Times New Roman" w:hAnsi="Times New Roman" w:cs="Times New Roman"/>
          <w:sz w:val="24"/>
          <w:szCs w:val="24"/>
        </w:rPr>
        <w:t>ON</w:t>
      </w: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8342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FACING FLOODS AND FIRES – EMERGENCY PREPAREDNESS</w:t>
      </w:r>
    </w:p>
    <w:p w:rsidR="00F81991" w:rsidRPr="008342F8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NATURAL DISASTERS IN NATIVE COMMUNITIES</w:t>
      </w:r>
      <w:r w:rsidRPr="008342F8">
        <w:rPr>
          <w:rFonts w:ascii="Times New Roman" w:hAnsi="Times New Roman" w:cs="Times New Roman"/>
          <w:sz w:val="24"/>
          <w:szCs w:val="24"/>
        </w:rPr>
        <w:t>.”</w:t>
      </w: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81991" w:rsidRPr="00013274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21, 2011</w:t>
      </w:r>
    </w:p>
    <w:p w:rsidR="00F81991" w:rsidRDefault="00F81991" w:rsidP="00F81991">
      <w:pPr>
        <w:jc w:val="center"/>
      </w:pPr>
      <w:r w:rsidRPr="00013274">
        <w:br w:type="page"/>
      </w:r>
      <w:r>
        <w:t>STATEMENT OF THE INDIAN HEALTH SERVICE</w:t>
      </w:r>
    </w:p>
    <w:p w:rsidR="00F81991" w:rsidRDefault="00F81991" w:rsidP="00F81991">
      <w:pPr>
        <w:jc w:val="center"/>
      </w:pPr>
      <w:r>
        <w:t>ON</w:t>
      </w:r>
    </w:p>
    <w:p w:rsidR="00F81991" w:rsidRDefault="00F81991" w:rsidP="00F81991">
      <w:pPr>
        <w:jc w:val="center"/>
      </w:pPr>
    </w:p>
    <w:p w:rsidR="00F81991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8342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FACING FLOODS AND FIRES – EMERGENCY PREPAREDNESS</w:t>
      </w:r>
    </w:p>
    <w:p w:rsidR="00F81991" w:rsidRPr="008342F8" w:rsidRDefault="00F81991" w:rsidP="00F8199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NATURAL DISASTERS IN NATIVE COMMUNITIES</w:t>
      </w:r>
      <w:r w:rsidRPr="008342F8">
        <w:rPr>
          <w:rFonts w:ascii="Times New Roman" w:hAnsi="Times New Roman" w:cs="Times New Roman"/>
          <w:sz w:val="24"/>
          <w:szCs w:val="24"/>
        </w:rPr>
        <w:t>.”</w:t>
      </w:r>
    </w:p>
    <w:p w:rsidR="00F81991" w:rsidRDefault="00F81991" w:rsidP="00F81991">
      <w:pPr>
        <w:jc w:val="center"/>
      </w:pPr>
    </w:p>
    <w:p w:rsidR="00F81991" w:rsidRDefault="00F81991" w:rsidP="00F81991">
      <w:pPr>
        <w:jc w:val="center"/>
      </w:pPr>
      <w:r>
        <w:t>July 21, 2011</w:t>
      </w:r>
    </w:p>
    <w:p w:rsidR="00F81991" w:rsidRDefault="00F81991" w:rsidP="00F81991">
      <w:pPr>
        <w:jc w:val="center"/>
      </w:pPr>
    </w:p>
    <w:p w:rsidR="00F81991" w:rsidRDefault="00F81991" w:rsidP="00F81991">
      <w:pPr>
        <w:jc w:val="center"/>
      </w:pPr>
    </w:p>
    <w:p w:rsidR="00F81991" w:rsidRPr="008B6A82" w:rsidRDefault="00F81991" w:rsidP="00F81991">
      <w:pPr>
        <w:spacing w:line="360" w:lineRule="auto"/>
      </w:pPr>
      <w:r w:rsidRPr="008B6A82">
        <w:t>M</w:t>
      </w:r>
      <w:r>
        <w:t xml:space="preserve">r. </w:t>
      </w:r>
      <w:r w:rsidRPr="008B6A82">
        <w:t>Chair</w:t>
      </w:r>
      <w:r>
        <w:t>man</w:t>
      </w:r>
      <w:r w:rsidRPr="008B6A82">
        <w:t xml:space="preserve"> and Members of the Committee:</w:t>
      </w:r>
    </w:p>
    <w:p w:rsidR="00F81991" w:rsidRPr="008B6A82" w:rsidRDefault="00F81991" w:rsidP="00F81991">
      <w:pPr>
        <w:spacing w:line="360" w:lineRule="auto"/>
      </w:pPr>
    </w:p>
    <w:p w:rsidR="00F81991" w:rsidRDefault="00F81991" w:rsidP="00F81991">
      <w:pPr>
        <w:spacing w:line="360" w:lineRule="auto"/>
      </w:pPr>
      <w:r w:rsidRPr="008B6A82">
        <w:t xml:space="preserve">Good </w:t>
      </w:r>
      <w:r>
        <w:t xml:space="preserve">afternoon.  My name is Randy Grinnell, and I am the Deputy Director of the </w:t>
      </w:r>
      <w:r w:rsidRPr="008B6A82">
        <w:t>Indian Health Service</w:t>
      </w:r>
      <w:r>
        <w:t xml:space="preserve"> (IHS).  I am pleased to have this </w:t>
      </w:r>
      <w:r w:rsidRPr="008B6A82">
        <w:t xml:space="preserve">opportunity to </w:t>
      </w:r>
      <w:r>
        <w:t xml:space="preserve">appear before you today, and discuss the important issue of emergency and disaster preparedness </w:t>
      </w:r>
      <w:r w:rsidR="00EC1B59">
        <w:t xml:space="preserve">and response </w:t>
      </w:r>
      <w:r>
        <w:t>in Indian Country.</w:t>
      </w:r>
    </w:p>
    <w:p w:rsidR="00F81991" w:rsidRDefault="00F81991" w:rsidP="00F81991">
      <w:pPr>
        <w:spacing w:line="360" w:lineRule="auto"/>
      </w:pPr>
    </w:p>
    <w:p w:rsidR="00C15639" w:rsidRDefault="00C15639" w:rsidP="00C15639">
      <w:pPr>
        <w:spacing w:line="360" w:lineRule="auto"/>
      </w:pPr>
      <w:r>
        <w:t xml:space="preserve">The need to </w:t>
      </w:r>
      <w:r w:rsidR="002462F0">
        <w:t>plan</w:t>
      </w:r>
      <w:r>
        <w:t xml:space="preserve"> and prepare for naturally occurring and manmade emergencies and disasters is </w:t>
      </w:r>
      <w:r w:rsidR="002507AF">
        <w:t xml:space="preserve">the responsibility of </w:t>
      </w:r>
      <w:r>
        <w:t>Federal</w:t>
      </w:r>
      <w:r w:rsidR="002507AF">
        <w:t>, State, local</w:t>
      </w:r>
      <w:r>
        <w:t xml:space="preserve"> and Tribal</w:t>
      </w:r>
      <w:r w:rsidR="00831421">
        <w:t xml:space="preserve"> </w:t>
      </w:r>
      <w:r w:rsidR="002507AF">
        <w:t>officials</w:t>
      </w:r>
      <w:r>
        <w:t xml:space="preserve">, </w:t>
      </w:r>
      <w:r w:rsidR="002462F0">
        <w:t xml:space="preserve">as well as </w:t>
      </w:r>
      <w:r>
        <w:t xml:space="preserve">individual communities and families.  </w:t>
      </w:r>
      <w:r w:rsidR="002507AF">
        <w:t>Potential t</w:t>
      </w:r>
      <w:r>
        <w:t>hreats, risks, and response methodologies may vary across the country, but the core principle</w:t>
      </w:r>
      <w:r w:rsidR="00EC1B59">
        <w:t xml:space="preserve">s of </w:t>
      </w:r>
      <w:r>
        <w:t>hav</w:t>
      </w:r>
      <w:r w:rsidR="00EC1B59">
        <w:t xml:space="preserve">ing </w:t>
      </w:r>
      <w:r>
        <w:t xml:space="preserve">well integrated and coordinated preparedness, training, response, and recovery plans and programs in place before disaster strikes, is essential, regardless of </w:t>
      </w:r>
      <w:r w:rsidR="002462F0">
        <w:t>where we live</w:t>
      </w:r>
      <w:r>
        <w:t>.</w:t>
      </w:r>
    </w:p>
    <w:p w:rsidR="00C15639" w:rsidRDefault="00C15639" w:rsidP="00F81991">
      <w:pPr>
        <w:spacing w:line="360" w:lineRule="auto"/>
      </w:pPr>
    </w:p>
    <w:p w:rsidR="00F81991" w:rsidRDefault="002507AF" w:rsidP="00F81991">
      <w:pPr>
        <w:spacing w:line="360" w:lineRule="auto"/>
      </w:pPr>
      <w:r>
        <w:t>C</w:t>
      </w:r>
      <w:r w:rsidR="007F2EAE">
        <w:t xml:space="preserve">ompared to our Federal, State, local and Tribal partners, </w:t>
      </w:r>
      <w:r w:rsidR="00F81991">
        <w:t>IHS</w:t>
      </w:r>
      <w:r w:rsidR="00B044BE">
        <w:t xml:space="preserve"> has </w:t>
      </w:r>
      <w:r w:rsidR="007F2EAE">
        <w:t xml:space="preserve">a relatively small and </w:t>
      </w:r>
      <w:r w:rsidR="00B044BE">
        <w:t xml:space="preserve">limited </w:t>
      </w:r>
      <w:r w:rsidR="00A27DB2">
        <w:t xml:space="preserve">support </w:t>
      </w:r>
      <w:r w:rsidR="00B044BE">
        <w:t xml:space="preserve">role </w:t>
      </w:r>
      <w:r w:rsidR="00EC1B59">
        <w:t xml:space="preserve">in </w:t>
      </w:r>
      <w:r w:rsidR="00B044BE">
        <w:t>em</w:t>
      </w:r>
      <w:r w:rsidR="00F81991">
        <w:t xml:space="preserve">ergency </w:t>
      </w:r>
      <w:r w:rsidR="007F2EAE">
        <w:t xml:space="preserve">and disaster </w:t>
      </w:r>
      <w:r w:rsidR="00F81991">
        <w:t xml:space="preserve">preparedness, response, and recovery in Indian Country.  </w:t>
      </w:r>
      <w:r>
        <w:t>However, w</w:t>
      </w:r>
      <w:r w:rsidR="00F81991">
        <w:t>e recognize the importance of that role</w:t>
      </w:r>
      <w:r w:rsidR="007F2EAE">
        <w:t xml:space="preserve">, and strive to </w:t>
      </w:r>
      <w:r w:rsidR="00F81991">
        <w:t xml:space="preserve">ensure the </w:t>
      </w:r>
      <w:r w:rsidR="00A27DB2">
        <w:t xml:space="preserve">provision and </w:t>
      </w:r>
      <w:r w:rsidR="00F81991">
        <w:t>continuity of health services to American Indian and Alaskan Native (AI/AN) communities</w:t>
      </w:r>
      <w:r w:rsidR="007F2EAE">
        <w:t xml:space="preserve">, regardless of conditions on the ground.  </w:t>
      </w:r>
      <w:r w:rsidR="00F81991">
        <w:t>IHS is committed to provide</w:t>
      </w:r>
      <w:r w:rsidR="002462F0">
        <w:t xml:space="preserve"> the </w:t>
      </w:r>
      <w:r w:rsidR="00F81991">
        <w:t xml:space="preserve">delivery of these services, </w:t>
      </w:r>
      <w:r>
        <w:t xml:space="preserve">no matter </w:t>
      </w:r>
      <w:r w:rsidR="00F81991">
        <w:t xml:space="preserve">the hazard or environment.  </w:t>
      </w:r>
      <w:r w:rsidR="007F2EAE">
        <w:t xml:space="preserve">Likewise, IHS is </w:t>
      </w:r>
      <w:r w:rsidR="00F81991">
        <w:t>committed to improv</w:t>
      </w:r>
      <w:r>
        <w:t>ing</w:t>
      </w:r>
      <w:r w:rsidR="00F81991">
        <w:t xml:space="preserve"> our </w:t>
      </w:r>
      <w:r w:rsidR="00A27DB2">
        <w:t xml:space="preserve">communication, </w:t>
      </w:r>
      <w:r w:rsidR="00F81991">
        <w:t>integration</w:t>
      </w:r>
      <w:r w:rsidR="00A27DB2">
        <w:t>,</w:t>
      </w:r>
      <w:r w:rsidR="00F81991">
        <w:t xml:space="preserve"> and coordination with </w:t>
      </w:r>
      <w:r w:rsidR="00EC1B59">
        <w:t xml:space="preserve">Tribal </w:t>
      </w:r>
      <w:r w:rsidR="00F81991">
        <w:t>emergency</w:t>
      </w:r>
      <w:r w:rsidR="00A27DB2">
        <w:t xml:space="preserve"> preparedness and </w:t>
      </w:r>
      <w:r w:rsidR="00F81991">
        <w:t>management programs, and those of our Federal, State, local and non-government organization (NGO)</w:t>
      </w:r>
      <w:r w:rsidR="007F2EAE">
        <w:t xml:space="preserve"> </w:t>
      </w:r>
      <w:r w:rsidR="00F81991">
        <w:t>partners</w:t>
      </w:r>
      <w:r w:rsidR="00A27DB2">
        <w:t>.</w:t>
      </w:r>
    </w:p>
    <w:p w:rsidR="00F81991" w:rsidRDefault="00F81991" w:rsidP="00F81991">
      <w:pPr>
        <w:spacing w:line="360" w:lineRule="auto"/>
      </w:pPr>
    </w:p>
    <w:p w:rsidR="00214A2F" w:rsidRDefault="00F81991" w:rsidP="00F81991">
      <w:pPr>
        <w:spacing w:line="360" w:lineRule="auto"/>
      </w:pPr>
      <w:r>
        <w:t>I w</w:t>
      </w:r>
      <w:r w:rsidR="002462F0">
        <w:t xml:space="preserve">ould like to </w:t>
      </w:r>
      <w:r>
        <w:t>provide a short overview of IHS</w:t>
      </w:r>
      <w:r w:rsidR="00831421">
        <w:t xml:space="preserve"> special</w:t>
      </w:r>
      <w:r>
        <w:t xml:space="preserve"> </w:t>
      </w:r>
      <w:r w:rsidR="00A27DB2">
        <w:t xml:space="preserve">trust </w:t>
      </w:r>
      <w:r>
        <w:t>responsibilit</w:t>
      </w:r>
      <w:r w:rsidR="00EC1B59">
        <w:t xml:space="preserve">ies </w:t>
      </w:r>
      <w:r>
        <w:t>to</w:t>
      </w:r>
      <w:r w:rsidR="00894A29">
        <w:t xml:space="preserve"> the Tribes</w:t>
      </w:r>
      <w:r w:rsidR="00B80662">
        <w:t xml:space="preserve">, and </w:t>
      </w:r>
      <w:r w:rsidR="00A27DB2">
        <w:t xml:space="preserve">our </w:t>
      </w:r>
      <w:r>
        <w:t xml:space="preserve">support role </w:t>
      </w:r>
      <w:r w:rsidR="00A27DB2">
        <w:t xml:space="preserve">in </w:t>
      </w:r>
      <w:r>
        <w:t xml:space="preserve">emergency </w:t>
      </w:r>
      <w:r w:rsidR="00A27DB2">
        <w:t xml:space="preserve">and disaster </w:t>
      </w:r>
      <w:r>
        <w:t>preparedness</w:t>
      </w:r>
      <w:r w:rsidR="00A27DB2">
        <w:t xml:space="preserve">, </w:t>
      </w:r>
      <w:r>
        <w:t>response</w:t>
      </w:r>
      <w:r w:rsidR="00B80662">
        <w:t>,</w:t>
      </w:r>
      <w:r w:rsidR="00A27DB2">
        <w:t xml:space="preserve"> and recovery</w:t>
      </w:r>
      <w:r w:rsidR="00C47445">
        <w:t xml:space="preserve">.  </w:t>
      </w:r>
    </w:p>
    <w:p w:rsidR="00B80662" w:rsidRDefault="00B80662" w:rsidP="00F81991">
      <w:pPr>
        <w:spacing w:line="360" w:lineRule="auto"/>
        <w:rPr>
          <w:b/>
        </w:rPr>
      </w:pPr>
    </w:p>
    <w:p w:rsidR="00F81991" w:rsidRPr="00D92CA0" w:rsidRDefault="00F81991" w:rsidP="00F81991">
      <w:pPr>
        <w:spacing w:line="360" w:lineRule="auto"/>
        <w:rPr>
          <w:b/>
        </w:rPr>
      </w:pPr>
      <w:r>
        <w:rPr>
          <w:b/>
        </w:rPr>
        <w:t>IHS</w:t>
      </w:r>
      <w:r w:rsidR="00F1292B">
        <w:rPr>
          <w:b/>
        </w:rPr>
        <w:t>/</w:t>
      </w:r>
      <w:r w:rsidR="00EC1B59">
        <w:rPr>
          <w:b/>
        </w:rPr>
        <w:t xml:space="preserve"> </w:t>
      </w:r>
      <w:r w:rsidR="002507AF">
        <w:rPr>
          <w:b/>
        </w:rPr>
        <w:t xml:space="preserve">Federal </w:t>
      </w:r>
      <w:r w:rsidR="00F1292B">
        <w:rPr>
          <w:b/>
        </w:rPr>
        <w:t xml:space="preserve">Special </w:t>
      </w:r>
      <w:r w:rsidR="00EC1B59">
        <w:rPr>
          <w:b/>
        </w:rPr>
        <w:t xml:space="preserve">Trust </w:t>
      </w:r>
      <w:r>
        <w:rPr>
          <w:b/>
        </w:rPr>
        <w:t>Responsibilit</w:t>
      </w:r>
      <w:r w:rsidR="00EC1B59">
        <w:rPr>
          <w:b/>
        </w:rPr>
        <w:t>ies</w:t>
      </w:r>
    </w:p>
    <w:p w:rsidR="00F81991" w:rsidRDefault="00C47445" w:rsidP="00F81991">
      <w:pPr>
        <w:spacing w:line="360" w:lineRule="auto"/>
      </w:pPr>
      <w:r>
        <w:t xml:space="preserve">The </w:t>
      </w:r>
      <w:r w:rsidR="00F81991">
        <w:t xml:space="preserve">IHS </w:t>
      </w:r>
      <w:r w:rsidR="00F81991" w:rsidRPr="008B5780">
        <w:t xml:space="preserve">plays a unique role </w:t>
      </w:r>
      <w:r w:rsidR="00B81590">
        <w:t xml:space="preserve">within </w:t>
      </w:r>
      <w:r w:rsidR="00F81991" w:rsidRPr="008B5780">
        <w:t>the</w:t>
      </w:r>
      <w:r w:rsidR="00F81991">
        <w:t xml:space="preserve"> U.S.</w:t>
      </w:r>
      <w:r w:rsidR="00F81991" w:rsidRPr="008B5780">
        <w:t xml:space="preserve"> Department of Health and Human Services </w:t>
      </w:r>
      <w:r w:rsidR="00F81991">
        <w:t>(HHS)</w:t>
      </w:r>
      <w:r>
        <w:t>,</w:t>
      </w:r>
      <w:r w:rsidR="00F81991">
        <w:t xml:space="preserve"> to meet the F</w:t>
      </w:r>
      <w:r w:rsidR="00F81991" w:rsidRPr="008B5780">
        <w:t xml:space="preserve">ederal </w:t>
      </w:r>
      <w:r w:rsidR="00F1292B">
        <w:t xml:space="preserve">special </w:t>
      </w:r>
      <w:r w:rsidR="00F81991" w:rsidRPr="008B5780">
        <w:t>trust responsibility</w:t>
      </w:r>
      <w:r>
        <w:t xml:space="preserve"> by </w:t>
      </w:r>
      <w:r w:rsidR="00F81991" w:rsidRPr="008B5780">
        <w:t>provid</w:t>
      </w:r>
      <w:r>
        <w:t xml:space="preserve">ing </w:t>
      </w:r>
      <w:r w:rsidR="00F81991" w:rsidRPr="008B5780">
        <w:t xml:space="preserve">health </w:t>
      </w:r>
      <w:r w:rsidR="00F81991">
        <w:t xml:space="preserve">services </w:t>
      </w:r>
      <w:r>
        <w:t xml:space="preserve">and resources </w:t>
      </w:r>
      <w:r w:rsidR="00F81991" w:rsidRPr="008B5780">
        <w:t xml:space="preserve">to </w:t>
      </w:r>
      <w:r w:rsidR="00F81991">
        <w:t xml:space="preserve">the five-hundred-sixty-five (565) Federally recognized </w:t>
      </w:r>
      <w:r w:rsidR="00F81991" w:rsidRPr="008B5780">
        <w:t>A</w:t>
      </w:r>
      <w:r w:rsidR="00B81590">
        <w:t xml:space="preserve">I/AN </w:t>
      </w:r>
      <w:r w:rsidR="00F81991">
        <w:t xml:space="preserve">Tribes.  </w:t>
      </w:r>
      <w:r w:rsidR="00F81991" w:rsidRPr="008B6A82">
        <w:t xml:space="preserve">IHS </w:t>
      </w:r>
      <w:r w:rsidR="00F81991">
        <w:t xml:space="preserve">provides comprehensive health services </w:t>
      </w:r>
      <w:r w:rsidR="00F81991" w:rsidRPr="008B6A82">
        <w:t xml:space="preserve">to </w:t>
      </w:r>
      <w:r w:rsidR="00D53877">
        <w:t xml:space="preserve">approximately </w:t>
      </w:r>
      <w:r w:rsidR="002462F0">
        <w:t>1.9</w:t>
      </w:r>
      <w:r w:rsidR="00214A2F">
        <w:t xml:space="preserve"> </w:t>
      </w:r>
      <w:r w:rsidR="00F81991" w:rsidRPr="00952171">
        <w:t xml:space="preserve">million </w:t>
      </w:r>
      <w:r w:rsidR="00E92E97">
        <w:t>AI/ANs</w:t>
      </w:r>
      <w:r w:rsidR="00F81991">
        <w:t xml:space="preserve"> through a system of IHS, Tribal, and U</w:t>
      </w:r>
      <w:r w:rsidR="00F81991" w:rsidRPr="008B6A82">
        <w:t xml:space="preserve">rban </w:t>
      </w:r>
      <w:r w:rsidR="002462F0">
        <w:t xml:space="preserve">Indian </w:t>
      </w:r>
      <w:r w:rsidR="00B81590">
        <w:t xml:space="preserve">(I/T/U) </w:t>
      </w:r>
      <w:r w:rsidR="00F81991" w:rsidRPr="008B6A82">
        <w:t xml:space="preserve">operated </w:t>
      </w:r>
      <w:r w:rsidR="00D53877">
        <w:t xml:space="preserve">health service </w:t>
      </w:r>
      <w:r w:rsidR="00B81590">
        <w:t xml:space="preserve">units </w:t>
      </w:r>
      <w:r w:rsidR="00F81991" w:rsidRPr="008B6A82">
        <w:t>and programs</w:t>
      </w:r>
      <w:r w:rsidR="001E77C2">
        <w:t>,</w:t>
      </w:r>
      <w:r w:rsidR="00D53877">
        <w:t xml:space="preserve"> based on authorities founded in </w:t>
      </w:r>
      <w:r w:rsidR="00F81991" w:rsidRPr="008B6A82">
        <w:t>treaties, judicial determinations, and Acts of Congress.</w:t>
      </w:r>
    </w:p>
    <w:p w:rsidR="00F81991" w:rsidRDefault="00F81991" w:rsidP="00F81991">
      <w:pPr>
        <w:spacing w:line="360" w:lineRule="auto"/>
      </w:pPr>
    </w:p>
    <w:p w:rsidR="00F81991" w:rsidRPr="008B6A82" w:rsidRDefault="00D53877" w:rsidP="00F81991">
      <w:pPr>
        <w:spacing w:line="360" w:lineRule="auto"/>
      </w:pPr>
      <w:r>
        <w:t>T</w:t>
      </w:r>
      <w:r w:rsidR="00B81590">
        <w:t>he mission of the A</w:t>
      </w:r>
      <w:r w:rsidR="00F81991" w:rsidRPr="008B6A82">
        <w:t>gency is to raise the physical, mental, social, and spiri</w:t>
      </w:r>
      <w:r w:rsidR="00F81991">
        <w:t>tual health of A</w:t>
      </w:r>
      <w:r w:rsidR="00E92E97">
        <w:t>I/ANs</w:t>
      </w:r>
      <w:r w:rsidR="00F81991" w:rsidRPr="008B6A82">
        <w:t xml:space="preserve"> to the highest level, in partnership wit</w:t>
      </w:r>
      <w:r w:rsidR="00B81590">
        <w:t>h the population we serve. The A</w:t>
      </w:r>
      <w:r w:rsidR="00F81991" w:rsidRPr="008B6A82">
        <w:t xml:space="preserve">gency </w:t>
      </w:r>
      <w:r w:rsidR="00F81991">
        <w:t>aims</w:t>
      </w:r>
      <w:r w:rsidR="00F81991" w:rsidRPr="008B6A82">
        <w:t xml:space="preserve"> to assure that comprehensive, culturally acceptable personal and public health services</w:t>
      </w:r>
      <w:r w:rsidR="006B1ACA">
        <w:t>,</w:t>
      </w:r>
      <w:r w:rsidR="00F81991" w:rsidRPr="008B6A82">
        <w:t xml:space="preserve"> </w:t>
      </w:r>
      <w:r w:rsidR="006B1ACA">
        <w:t xml:space="preserve">including traditional medicine, </w:t>
      </w:r>
      <w:r w:rsidR="00F81991" w:rsidRPr="008B6A82">
        <w:t xml:space="preserve">are available and accessible to the service population. </w:t>
      </w:r>
      <w:r w:rsidR="00B81590">
        <w:t xml:space="preserve"> </w:t>
      </w:r>
      <w:r w:rsidR="00F81991" w:rsidRPr="008B6A82">
        <w:t xml:space="preserve">Our </w:t>
      </w:r>
      <w:r w:rsidR="002507AF">
        <w:t xml:space="preserve">obligation </w:t>
      </w:r>
      <w:r w:rsidR="00F81991" w:rsidRPr="008B6A82">
        <w:t xml:space="preserve">is to </w:t>
      </w:r>
      <w:r w:rsidR="00F81991">
        <w:t>promote healthy A</w:t>
      </w:r>
      <w:r w:rsidR="003D7BAA">
        <w:t xml:space="preserve">I/AN </w:t>
      </w:r>
      <w:r w:rsidR="00F81991" w:rsidRPr="008B6A82">
        <w:t>people, communities, and cultures</w:t>
      </w:r>
      <w:r w:rsidR="00F81991">
        <w:t>,</w:t>
      </w:r>
      <w:r w:rsidR="00F81991" w:rsidRPr="008B6A82">
        <w:t xml:space="preserve"> and to honor </w:t>
      </w:r>
      <w:r w:rsidR="00F81991">
        <w:t>the i</w:t>
      </w:r>
      <w:r w:rsidR="00F81991" w:rsidRPr="008B6A82">
        <w:t>nherent sovereign rights of Tribes.</w:t>
      </w:r>
    </w:p>
    <w:p w:rsidR="00F81991" w:rsidRDefault="00F81991" w:rsidP="00F81991">
      <w:pPr>
        <w:spacing w:line="360" w:lineRule="auto"/>
      </w:pPr>
    </w:p>
    <w:p w:rsidR="00F81991" w:rsidRDefault="00F81991" w:rsidP="00F81991">
      <w:pPr>
        <w:spacing w:line="360" w:lineRule="auto"/>
      </w:pPr>
      <w:r w:rsidRPr="008B6A82">
        <w:t xml:space="preserve">The IHS </w:t>
      </w:r>
      <w:r>
        <w:t xml:space="preserve">seeks to </w:t>
      </w:r>
      <w:r w:rsidRPr="008B6A82">
        <w:t xml:space="preserve">work in partnership with the </w:t>
      </w:r>
      <w:r w:rsidR="007374F8">
        <w:t xml:space="preserve">Tribal </w:t>
      </w:r>
      <w:r w:rsidRPr="008B6A82">
        <w:t>communities it serves</w:t>
      </w:r>
      <w:r w:rsidR="00E92E97">
        <w:t xml:space="preserve"> and</w:t>
      </w:r>
      <w:r w:rsidR="002507AF">
        <w:t>,</w:t>
      </w:r>
      <w:r w:rsidR="00E92E97">
        <w:t xml:space="preserve"> </w:t>
      </w:r>
      <w:r w:rsidRPr="008B6A82">
        <w:t>as such</w:t>
      </w:r>
      <w:r>
        <w:t>,</w:t>
      </w:r>
      <w:r w:rsidRPr="008B6A82">
        <w:t xml:space="preserve"> IHS </w:t>
      </w:r>
      <w:r w:rsidR="007374F8">
        <w:t xml:space="preserve">health care facilities and their </w:t>
      </w:r>
      <w:r>
        <w:t xml:space="preserve">administration includes </w:t>
      </w:r>
      <w:r w:rsidRPr="008B6A82">
        <w:t xml:space="preserve">Tribal representatives </w:t>
      </w:r>
      <w:r>
        <w:t xml:space="preserve">who closely participate, as key stakeholders, in the health services preparedness and delivery system.  </w:t>
      </w:r>
      <w:r w:rsidR="007374F8">
        <w:t>C</w:t>
      </w:r>
      <w:r>
        <w:t xml:space="preserve">urrent </w:t>
      </w:r>
      <w:r w:rsidR="00B81590">
        <w:t xml:space="preserve">public laws, Federal </w:t>
      </w:r>
      <w:r>
        <w:t>polic</w:t>
      </w:r>
      <w:r w:rsidR="00B81590">
        <w:t xml:space="preserve">ies, </w:t>
      </w:r>
      <w:r>
        <w:t xml:space="preserve">and individual Tribal governance </w:t>
      </w:r>
      <w:r w:rsidR="007374F8">
        <w:t xml:space="preserve">decisions </w:t>
      </w:r>
      <w:r>
        <w:t>determin</w:t>
      </w:r>
      <w:r w:rsidR="007374F8">
        <w:t>e</w:t>
      </w:r>
      <w:r>
        <w:t xml:space="preserve"> </w:t>
      </w:r>
      <w:r w:rsidR="00B81590">
        <w:t xml:space="preserve">the </w:t>
      </w:r>
      <w:r>
        <w:t xml:space="preserve">role and relationship </w:t>
      </w:r>
      <w:r w:rsidR="00B81590">
        <w:t xml:space="preserve">IHS has </w:t>
      </w:r>
      <w:r>
        <w:t>with each Tribe, and the corresponding level and method</w:t>
      </w:r>
      <w:r w:rsidR="00B81590">
        <w:t>s</w:t>
      </w:r>
      <w:r>
        <w:t xml:space="preserve"> of health services</w:t>
      </w:r>
      <w:r w:rsidR="00B81590">
        <w:t xml:space="preserve"> delivery</w:t>
      </w:r>
      <w:r>
        <w:t>, support, oversight</w:t>
      </w:r>
      <w:r w:rsidR="002507AF">
        <w:t>,</w:t>
      </w:r>
      <w:r>
        <w:t xml:space="preserve"> control, and resources</w:t>
      </w:r>
      <w:r w:rsidR="00B81590">
        <w:t xml:space="preserve"> IHS </w:t>
      </w:r>
      <w:r>
        <w:t>provide</w:t>
      </w:r>
      <w:r w:rsidR="002507AF">
        <w:t>s</w:t>
      </w:r>
      <w:r>
        <w:t>.</w:t>
      </w:r>
      <w:r w:rsidR="003D7BAA">
        <w:t xml:space="preserve">  </w:t>
      </w:r>
      <w:r w:rsidR="007374F8">
        <w:t>T</w:t>
      </w:r>
      <w:r w:rsidR="003D7BAA">
        <w:t xml:space="preserve">hese governing authorities often </w:t>
      </w:r>
      <w:r w:rsidR="007374F8">
        <w:t xml:space="preserve">affect </w:t>
      </w:r>
      <w:r w:rsidR="003D7BAA">
        <w:t>Federal-level support to Indian Country during emergencies and disasters.</w:t>
      </w:r>
    </w:p>
    <w:p w:rsidR="00A96B72" w:rsidRDefault="00A96B72" w:rsidP="00F81991">
      <w:pPr>
        <w:spacing w:line="360" w:lineRule="auto"/>
        <w:rPr>
          <w:b/>
        </w:rPr>
      </w:pPr>
    </w:p>
    <w:p w:rsidR="00F81991" w:rsidRPr="008E615B" w:rsidRDefault="00B309D0" w:rsidP="00F81991">
      <w:pPr>
        <w:spacing w:line="360" w:lineRule="auto"/>
        <w:rPr>
          <w:b/>
        </w:rPr>
      </w:pPr>
      <w:r>
        <w:rPr>
          <w:b/>
        </w:rPr>
        <w:t xml:space="preserve">IHS Organization and </w:t>
      </w:r>
      <w:r w:rsidR="00EC1B59">
        <w:rPr>
          <w:b/>
        </w:rPr>
        <w:t>Capabilities</w:t>
      </w:r>
    </w:p>
    <w:p w:rsidR="008F4916" w:rsidRDefault="00F81991" w:rsidP="00F81991">
      <w:pPr>
        <w:spacing w:line="360" w:lineRule="auto"/>
      </w:pPr>
      <w:r>
        <w:t>The IHS Headquarters (IHS-HQ) is located in Rockville, M</w:t>
      </w:r>
      <w:r w:rsidR="00D53877">
        <w:t>aryland.</w:t>
      </w:r>
      <w:r>
        <w:t xml:space="preserve">  </w:t>
      </w:r>
      <w:r w:rsidR="00586C5E">
        <w:t>T</w:t>
      </w:r>
      <w:r>
        <w:t>he Agency has twelve (12) strategically located Area Offices across the United States</w:t>
      </w:r>
      <w:r w:rsidR="00D53877">
        <w:t xml:space="preserve">, which </w:t>
      </w:r>
      <w:r w:rsidR="007374F8">
        <w:t>includes IHS and Tribally operated hospitals and ambulatory health centers, as well as 34 Urban Indian health programs</w:t>
      </w:r>
      <w:r w:rsidR="00E92E97">
        <w:t>,</w:t>
      </w:r>
      <w:r w:rsidR="007374F8">
        <w:t xml:space="preserve"> </w:t>
      </w:r>
      <w:r w:rsidR="00586C5E">
        <w:t xml:space="preserve">located </w:t>
      </w:r>
      <w:r w:rsidR="007374F8">
        <w:t xml:space="preserve">in </w:t>
      </w:r>
      <w:r w:rsidR="008F4916">
        <w:t xml:space="preserve">thirty-six </w:t>
      </w:r>
      <w:r w:rsidR="00586C5E">
        <w:t xml:space="preserve">(36) </w:t>
      </w:r>
      <w:r w:rsidR="007374F8">
        <w:t>s</w:t>
      </w:r>
      <w:r w:rsidR="008F4916">
        <w:t>tate</w:t>
      </w:r>
      <w:r w:rsidR="00586C5E">
        <w:t>s</w:t>
      </w:r>
      <w:r w:rsidR="001D6EDC">
        <w:t xml:space="preserve">. </w:t>
      </w:r>
      <w:r w:rsidR="00466257">
        <w:t xml:space="preserve">  The I/T/U health care system </w:t>
      </w:r>
      <w:r w:rsidR="00DF1AF8">
        <w:t xml:space="preserve">provides patient care </w:t>
      </w:r>
      <w:r w:rsidR="00466257">
        <w:t>and public health services within Indian reservations and communities</w:t>
      </w:r>
      <w:r w:rsidR="00DF1AF8">
        <w:t>, and has well-established ongoing partnerships with Tribal governments and programs.  Th</w:t>
      </w:r>
      <w:r w:rsidR="00E92E97">
        <w:t>ese</w:t>
      </w:r>
      <w:r w:rsidR="00DF1AF8">
        <w:t xml:space="preserve"> daily interaction</w:t>
      </w:r>
      <w:r w:rsidR="00E92E97">
        <w:t>s</w:t>
      </w:r>
      <w:r w:rsidR="00DF1AF8">
        <w:t xml:space="preserve"> between the IHS and Tribal staff ha</w:t>
      </w:r>
      <w:r w:rsidR="00E92E97">
        <w:t>ve</w:t>
      </w:r>
      <w:r w:rsidR="00DF1AF8">
        <w:t xml:space="preserve"> prove</w:t>
      </w:r>
      <w:r w:rsidR="002507AF">
        <w:t>d</w:t>
      </w:r>
      <w:r w:rsidR="00DF1AF8">
        <w:t xml:space="preserve"> to be invaluable during emergency responses to disasters.   </w:t>
      </w:r>
      <w:r w:rsidR="00466257">
        <w:t xml:space="preserve">  </w:t>
      </w:r>
    </w:p>
    <w:p w:rsidR="008F4916" w:rsidRDefault="008F4916" w:rsidP="00F81991">
      <w:pPr>
        <w:spacing w:line="360" w:lineRule="auto"/>
      </w:pPr>
    </w:p>
    <w:p w:rsidR="00F81991" w:rsidRDefault="00D740BC" w:rsidP="00F81991">
      <w:pPr>
        <w:spacing w:line="360" w:lineRule="auto"/>
      </w:pPr>
      <w:r>
        <w:t xml:space="preserve">Based on a number of variables, the </w:t>
      </w:r>
      <w:r w:rsidR="00EC1B59">
        <w:t xml:space="preserve">IHS </w:t>
      </w:r>
      <w:r w:rsidR="00F81991">
        <w:t>Area Office</w:t>
      </w:r>
      <w:r>
        <w:t>s</w:t>
      </w:r>
      <w:r w:rsidR="00EC1B59">
        <w:t xml:space="preserve"> </w:t>
      </w:r>
      <w:r>
        <w:t xml:space="preserve">vary in staff capabilities </w:t>
      </w:r>
      <w:r w:rsidR="002507AF">
        <w:t xml:space="preserve">of </w:t>
      </w:r>
      <w:r w:rsidR="00F81991">
        <w:t>essential health service</w:t>
      </w:r>
      <w:r w:rsidR="001D6EDC">
        <w:t>,</w:t>
      </w:r>
      <w:r w:rsidR="00F81991">
        <w:t xml:space="preserve"> including: preventive, clinical, surgical, and trauma medicine; behavioral health; environmental and public health; facilities, water, and sanitation engineering; and, to a very limited </w:t>
      </w:r>
      <w:r w:rsidR="00B80662">
        <w:t>extent</w:t>
      </w:r>
      <w:r w:rsidR="00F81991">
        <w:t>, emergency and disaster management.</w:t>
      </w:r>
    </w:p>
    <w:p w:rsidR="00F81991" w:rsidRDefault="00F81991" w:rsidP="00F81991">
      <w:pPr>
        <w:spacing w:line="360" w:lineRule="auto"/>
      </w:pPr>
    </w:p>
    <w:p w:rsidR="00A96B72" w:rsidRPr="00EC1B59" w:rsidRDefault="004661BF" w:rsidP="00F81991">
      <w:pPr>
        <w:spacing w:line="360" w:lineRule="auto"/>
        <w:rPr>
          <w:b/>
        </w:rPr>
      </w:pPr>
      <w:r>
        <w:rPr>
          <w:b/>
        </w:rPr>
        <w:t>Provision of Health Services in Indian Country, in the Context of Emergency and Disaster Preparedness and Response</w:t>
      </w:r>
    </w:p>
    <w:p w:rsidR="00F81991" w:rsidRDefault="00D740BC" w:rsidP="00F81991">
      <w:pPr>
        <w:spacing w:line="360" w:lineRule="auto"/>
      </w:pPr>
      <w:r>
        <w:t>IHS and Tribally operated health care facilities</w:t>
      </w:r>
      <w:r w:rsidR="00EC1B59">
        <w:t xml:space="preserve"> </w:t>
      </w:r>
      <w:r w:rsidR="00F81991">
        <w:t xml:space="preserve">are </w:t>
      </w:r>
      <w:r w:rsidR="00EC1B59">
        <w:t xml:space="preserve">generally </w:t>
      </w:r>
      <w:r w:rsidR="00F81991">
        <w:t>located on or near Tribal lands</w:t>
      </w:r>
      <w:r>
        <w:t>, along with the 3</w:t>
      </w:r>
      <w:r w:rsidR="00F55EA7">
        <w:t>4</w:t>
      </w:r>
      <w:r>
        <w:t xml:space="preserve"> U</w:t>
      </w:r>
      <w:r w:rsidR="00F81991">
        <w:t xml:space="preserve">rban </w:t>
      </w:r>
      <w:r w:rsidR="00EC1B59">
        <w:t xml:space="preserve">Indian </w:t>
      </w:r>
      <w:r>
        <w:t>health programs,</w:t>
      </w:r>
      <w:r w:rsidR="004661BF">
        <w:t xml:space="preserve"> </w:t>
      </w:r>
      <w:r w:rsidR="00F81991">
        <w:t xml:space="preserve">to provide </w:t>
      </w:r>
      <w:r w:rsidR="00EC1B59">
        <w:t xml:space="preserve">the most </w:t>
      </w:r>
      <w:r w:rsidR="00F81991">
        <w:t xml:space="preserve">convenient </w:t>
      </w:r>
      <w:r w:rsidR="004661BF">
        <w:t xml:space="preserve">and </w:t>
      </w:r>
      <w:r w:rsidR="00F81991">
        <w:t xml:space="preserve">accessible health resources and services to </w:t>
      </w:r>
      <w:r w:rsidR="004661BF">
        <w:t xml:space="preserve">local </w:t>
      </w:r>
      <w:r w:rsidR="00F81991">
        <w:t xml:space="preserve">Tribal </w:t>
      </w:r>
      <w:r>
        <w:t>eligible populations</w:t>
      </w:r>
      <w:r w:rsidR="00F81991">
        <w:t>.</w:t>
      </w:r>
      <w:r w:rsidR="004661BF">
        <w:t xml:space="preserve">  </w:t>
      </w:r>
      <w:r w:rsidR="00F81991">
        <w:t xml:space="preserve">As emergencies and disasters occur in their respective areas, the </w:t>
      </w:r>
      <w:r>
        <w:t>health care programs</w:t>
      </w:r>
      <w:r w:rsidR="00F81991">
        <w:t xml:space="preserve"> </w:t>
      </w:r>
      <w:r w:rsidR="005D5B23">
        <w:t xml:space="preserve">will </w:t>
      </w:r>
      <w:r w:rsidR="00F81991">
        <w:t>continue operations, often in highly stressed environments</w:t>
      </w:r>
      <w:r w:rsidR="00804E46">
        <w:t>,</w:t>
      </w:r>
      <w:r w:rsidR="00F81991">
        <w:t xml:space="preserve"> for as long as they can sustain the operations-tempo, and </w:t>
      </w:r>
      <w:r w:rsidR="002507AF">
        <w:t xml:space="preserve">for as long as </w:t>
      </w:r>
      <w:r w:rsidR="00F81991">
        <w:t xml:space="preserve">it remains safe for staff and patients to work and receive care at the primary </w:t>
      </w:r>
      <w:r>
        <w:t>health care facility</w:t>
      </w:r>
      <w:r w:rsidR="00F81991">
        <w:t xml:space="preserve">.  Due to their location however, and depending on the scope of the emergency or disaster, </w:t>
      </w:r>
      <w:r>
        <w:t xml:space="preserve">these facilities and staff </w:t>
      </w:r>
      <w:r w:rsidR="004661BF">
        <w:t xml:space="preserve"> may</w:t>
      </w:r>
      <w:r w:rsidR="002507AF">
        <w:t xml:space="preserve"> be</w:t>
      </w:r>
      <w:r w:rsidR="00F81991">
        <w:t xml:space="preserve">:  quickly overwhelmed by the volume of patients seeking aid and assistance; </w:t>
      </w:r>
      <w:r w:rsidR="00F10547">
        <w:t>under</w:t>
      </w:r>
      <w:r w:rsidR="004661BF">
        <w:t xml:space="preserve">staffed </w:t>
      </w:r>
      <w:r w:rsidR="008B2A50">
        <w:t xml:space="preserve"> during a disaster or emergency period</w:t>
      </w:r>
      <w:r w:rsidR="004661BF">
        <w:t xml:space="preserve">; </w:t>
      </w:r>
      <w:r w:rsidR="002507AF">
        <w:t>or</w:t>
      </w:r>
      <w:r w:rsidR="006B1ACA">
        <w:t xml:space="preserve"> often</w:t>
      </w:r>
      <w:r w:rsidR="002507AF">
        <w:t xml:space="preserve">, </w:t>
      </w:r>
      <w:r w:rsidR="004661BF">
        <w:t xml:space="preserve">forced to </w:t>
      </w:r>
      <w:r w:rsidR="00F81991">
        <w:t>evacuate their primary facility with little or no notice</w:t>
      </w:r>
      <w:r w:rsidR="004661BF">
        <w:t xml:space="preserve"> and </w:t>
      </w:r>
      <w:r w:rsidR="00F81991">
        <w:t xml:space="preserve">relocate </w:t>
      </w:r>
      <w:r w:rsidR="004661BF">
        <w:t xml:space="preserve">health </w:t>
      </w:r>
      <w:r w:rsidR="00F81991">
        <w:t>services</w:t>
      </w:r>
      <w:r w:rsidR="004661BF">
        <w:t xml:space="preserve"> and</w:t>
      </w:r>
      <w:r w:rsidR="00F81991">
        <w:t xml:space="preserve"> patients to alternate commercial or private care facilities</w:t>
      </w:r>
      <w:r w:rsidR="004661BF">
        <w:t xml:space="preserve"> </w:t>
      </w:r>
      <w:r w:rsidR="00F81991">
        <w:t>away from the hazard</w:t>
      </w:r>
      <w:r w:rsidR="004661BF">
        <w:t xml:space="preserve">, </w:t>
      </w:r>
      <w:r w:rsidR="00F81991">
        <w:t>and generally outside of the I/T/U health services system.</w:t>
      </w:r>
    </w:p>
    <w:p w:rsidR="00F81991" w:rsidRDefault="00F81991" w:rsidP="00F81991">
      <w:pPr>
        <w:spacing w:line="360" w:lineRule="auto"/>
      </w:pPr>
    </w:p>
    <w:p w:rsidR="00DA1480" w:rsidRDefault="00F81991" w:rsidP="00DA1480">
      <w:pPr>
        <w:spacing w:line="360" w:lineRule="auto"/>
      </w:pPr>
      <w:r>
        <w:t xml:space="preserve">For </w:t>
      </w:r>
      <w:r w:rsidR="00DA1480">
        <w:t>preparation of plans</w:t>
      </w:r>
      <w:r w:rsidR="00B64119">
        <w:t xml:space="preserve"> and </w:t>
      </w:r>
      <w:r>
        <w:t xml:space="preserve">training, </w:t>
      </w:r>
      <w:r w:rsidR="00DA1480">
        <w:t xml:space="preserve">and </w:t>
      </w:r>
      <w:r>
        <w:t xml:space="preserve">in preparation for </w:t>
      </w:r>
      <w:r w:rsidR="00DA1480">
        <w:t xml:space="preserve">and </w:t>
      </w:r>
      <w:r>
        <w:t>response to actual emergenc</w:t>
      </w:r>
      <w:r w:rsidR="00DA1480">
        <w:t xml:space="preserve">ies and </w:t>
      </w:r>
      <w:r>
        <w:t>disaster</w:t>
      </w:r>
      <w:r w:rsidR="00DA1480">
        <w:t>s</w:t>
      </w:r>
      <w:r>
        <w:t xml:space="preserve">, IHS </w:t>
      </w:r>
      <w:r w:rsidR="00D740BC">
        <w:t xml:space="preserve">staff work with </w:t>
      </w:r>
      <w:r>
        <w:t>Trib</w:t>
      </w:r>
      <w:r w:rsidR="00DA1480">
        <w:t xml:space="preserve">al emergency management programs and </w:t>
      </w:r>
      <w:r w:rsidR="00E92E97">
        <w:t xml:space="preserve">provide </w:t>
      </w:r>
      <w:r w:rsidR="00DA1480">
        <w:t xml:space="preserve">essential </w:t>
      </w:r>
      <w:r>
        <w:t>technical advice, services</w:t>
      </w:r>
      <w:r w:rsidR="00DA1480">
        <w:t xml:space="preserve">, </w:t>
      </w:r>
      <w:r>
        <w:t>and</w:t>
      </w:r>
      <w:r w:rsidR="00DA1480">
        <w:t xml:space="preserve"> on</w:t>
      </w:r>
      <w:r w:rsidR="00B84323">
        <w:t>-</w:t>
      </w:r>
      <w:r w:rsidR="00DA1480">
        <w:t>scene</w:t>
      </w:r>
      <w:r>
        <w:t xml:space="preserve"> support.  IHS medical, environmental health, engineering, and behavioral health staff frequently work </w:t>
      </w:r>
      <w:r w:rsidR="00DA1480">
        <w:t xml:space="preserve">with </w:t>
      </w:r>
      <w:r>
        <w:t xml:space="preserve">the </w:t>
      </w:r>
      <w:r w:rsidR="00D740BC">
        <w:t>health care facilities</w:t>
      </w:r>
      <w:r>
        <w:t xml:space="preserve"> </w:t>
      </w:r>
      <w:r w:rsidR="00DA1480">
        <w:t xml:space="preserve">and </w:t>
      </w:r>
      <w:r>
        <w:t>Trib</w:t>
      </w:r>
      <w:r w:rsidR="00DA1480">
        <w:t xml:space="preserve">es </w:t>
      </w:r>
      <w:r>
        <w:t xml:space="preserve">to help prepare for </w:t>
      </w:r>
      <w:r w:rsidR="002507AF">
        <w:t xml:space="preserve">known </w:t>
      </w:r>
      <w:r>
        <w:t xml:space="preserve">seasonal </w:t>
      </w:r>
      <w:r w:rsidR="00DA1480">
        <w:t xml:space="preserve">and </w:t>
      </w:r>
      <w:r>
        <w:t>recurring events such as flooding, wildfires, tornados, and hurricanes.</w:t>
      </w:r>
      <w:r w:rsidR="00DA1480">
        <w:t xml:space="preserve">  In the event of unforeseen emergencies and disasters, IHS </w:t>
      </w:r>
      <w:r w:rsidR="00534E66">
        <w:t>staff</w:t>
      </w:r>
      <w:r w:rsidR="00DA1480">
        <w:t xml:space="preserve"> </w:t>
      </w:r>
      <w:r w:rsidR="00466C5D">
        <w:t xml:space="preserve">may </w:t>
      </w:r>
      <w:r w:rsidR="004D66F5">
        <w:t xml:space="preserve">respond to </w:t>
      </w:r>
      <w:r w:rsidR="00804E46">
        <w:t>help Tribes</w:t>
      </w:r>
      <w:r w:rsidR="004D66F5">
        <w:t xml:space="preserve"> </w:t>
      </w:r>
      <w:r w:rsidR="00DA1480">
        <w:t xml:space="preserve">assess damage and needs, </w:t>
      </w:r>
      <w:r w:rsidR="004D66F5">
        <w:t xml:space="preserve">locate necessary support and resources, </w:t>
      </w:r>
      <w:r w:rsidR="00DA1480">
        <w:t xml:space="preserve">and serve as liaisons between Tribal emergency management leadership and teams, and </w:t>
      </w:r>
      <w:r w:rsidR="004D66F5">
        <w:t xml:space="preserve">other </w:t>
      </w:r>
      <w:r w:rsidR="00DA1480">
        <w:t>Federal partners responding to the incident.</w:t>
      </w:r>
      <w:r w:rsidR="004D66F5">
        <w:t xml:space="preserve">  If a Federal emergency or disaster is declared, IHS staff will </w:t>
      </w:r>
      <w:r w:rsidR="00E42774">
        <w:t xml:space="preserve">assume the role of </w:t>
      </w:r>
      <w:r w:rsidR="004D66F5">
        <w:t xml:space="preserve">Tribal liaison </w:t>
      </w:r>
      <w:r w:rsidR="00F10547">
        <w:t xml:space="preserve">in support of the HHS led Emergency Support Function (ESF#8; Public Health and Medical Services) </w:t>
      </w:r>
      <w:r w:rsidR="00E42774">
        <w:t xml:space="preserve">contributing to </w:t>
      </w:r>
      <w:r w:rsidR="004D66F5">
        <w:t xml:space="preserve">the </w:t>
      </w:r>
      <w:r w:rsidR="00F10547">
        <w:t xml:space="preserve">broader </w:t>
      </w:r>
      <w:r w:rsidR="004D66F5">
        <w:t>Federal response</w:t>
      </w:r>
      <w:r w:rsidR="00DF1AF8">
        <w:t>.</w:t>
      </w:r>
    </w:p>
    <w:p w:rsidR="004D66F5" w:rsidRDefault="004D66F5" w:rsidP="00DA1480">
      <w:pPr>
        <w:spacing w:line="360" w:lineRule="auto"/>
      </w:pPr>
    </w:p>
    <w:p w:rsidR="00DA1480" w:rsidRDefault="004D66F5" w:rsidP="00DA1480">
      <w:pPr>
        <w:spacing w:line="360" w:lineRule="auto"/>
      </w:pPr>
      <w:r>
        <w:t>Regardless of the status of a Federal declaration, IHS s</w:t>
      </w:r>
      <w:r w:rsidR="00B84323">
        <w:t xml:space="preserve">upport </w:t>
      </w:r>
      <w:r>
        <w:t xml:space="preserve">to Tribes </w:t>
      </w:r>
      <w:r w:rsidR="00534E66">
        <w:t>includes</w:t>
      </w:r>
      <w:r w:rsidR="00E42774">
        <w:t>,</w:t>
      </w:r>
      <w:r w:rsidR="00534E66">
        <w:t xml:space="preserve"> but </w:t>
      </w:r>
      <w:r>
        <w:t xml:space="preserve">is </w:t>
      </w:r>
      <w:r w:rsidR="00B64119">
        <w:t>not limited to</w:t>
      </w:r>
      <w:r>
        <w:t xml:space="preserve"> </w:t>
      </w:r>
      <w:r w:rsidR="00E42774">
        <w:t xml:space="preserve">the </w:t>
      </w:r>
      <w:r>
        <w:t>provision of</w:t>
      </w:r>
      <w:r w:rsidR="00DA1480">
        <w:t xml:space="preserve">:  </w:t>
      </w:r>
      <w:r w:rsidR="00B84323">
        <w:t xml:space="preserve">medical care and medicines; </w:t>
      </w:r>
      <w:r w:rsidR="00DA1480">
        <w:t xml:space="preserve">physical and environmental </w:t>
      </w:r>
      <w:r w:rsidR="00B84323">
        <w:t xml:space="preserve">health </w:t>
      </w:r>
      <w:r w:rsidR="00DA1480">
        <w:t xml:space="preserve">safety; potable water and sewage system </w:t>
      </w:r>
      <w:r w:rsidR="00B84323">
        <w:t xml:space="preserve">engineering, acquisition, and </w:t>
      </w:r>
      <w:r w:rsidR="00DA1480">
        <w:t>operation</w:t>
      </w:r>
      <w:r w:rsidR="00B84323">
        <w:t>al support</w:t>
      </w:r>
      <w:r w:rsidR="00DA1480">
        <w:t>; food safety</w:t>
      </w:r>
      <w:r>
        <w:t xml:space="preserve"> inspection</w:t>
      </w:r>
      <w:r w:rsidR="00DA1480">
        <w:t xml:space="preserve">; assessment of dwellings, structures, and infrastructure; </w:t>
      </w:r>
      <w:r>
        <w:t xml:space="preserve">satisfying </w:t>
      </w:r>
      <w:r w:rsidR="00B84323">
        <w:t xml:space="preserve">emotional and </w:t>
      </w:r>
      <w:r w:rsidR="00DA1480">
        <w:t>behavioral health needs</w:t>
      </w:r>
      <w:r w:rsidR="00B84323">
        <w:t xml:space="preserve">, including suicide prevention and cluster response; </w:t>
      </w:r>
      <w:r w:rsidR="00395AD4">
        <w:t xml:space="preserve">and, </w:t>
      </w:r>
      <w:r w:rsidR="00B84323">
        <w:t>medical logistics and patient transport</w:t>
      </w:r>
      <w:r w:rsidR="00395AD4">
        <w:t xml:space="preserve">.  </w:t>
      </w:r>
      <w:r w:rsidR="00B84323">
        <w:t xml:space="preserve">IHS </w:t>
      </w:r>
      <w:r w:rsidR="00534E66">
        <w:t>staff</w:t>
      </w:r>
      <w:r w:rsidR="00B84323">
        <w:t xml:space="preserve"> also </w:t>
      </w:r>
      <w:r w:rsidR="00DA1480">
        <w:t xml:space="preserve">support the relocation </w:t>
      </w:r>
      <w:r w:rsidR="00395AD4">
        <w:t xml:space="preserve">of </w:t>
      </w:r>
      <w:r w:rsidR="00DA1480">
        <w:t>medical records</w:t>
      </w:r>
      <w:r w:rsidR="00395AD4">
        <w:t xml:space="preserve"> </w:t>
      </w:r>
      <w:r w:rsidR="00DA1480">
        <w:t xml:space="preserve">and </w:t>
      </w:r>
      <w:r w:rsidR="00B84323">
        <w:t xml:space="preserve">health services </w:t>
      </w:r>
      <w:r w:rsidR="00DA1480">
        <w:t>equipment to temporary or alternate facilities of opportunity outside the hazard areas.</w:t>
      </w:r>
      <w:r w:rsidR="008636E5">
        <w:t xml:space="preserve">  </w:t>
      </w:r>
      <w:r w:rsidR="00E42774">
        <w:t xml:space="preserve">The primary purpose of the </w:t>
      </w:r>
      <w:r>
        <w:t xml:space="preserve">IHS is not </w:t>
      </w:r>
      <w:r w:rsidR="00E42774">
        <w:t xml:space="preserve">to provide for </w:t>
      </w:r>
      <w:r w:rsidR="00395AD4">
        <w:t>emergency and disaster preparedness, response</w:t>
      </w:r>
      <w:r w:rsidR="0082588D">
        <w:t>,</w:t>
      </w:r>
      <w:r w:rsidR="00395AD4">
        <w:t xml:space="preserve"> </w:t>
      </w:r>
      <w:r w:rsidR="00E42774">
        <w:t xml:space="preserve">or </w:t>
      </w:r>
      <w:r w:rsidR="00395AD4">
        <w:t xml:space="preserve">recovery planning and operations.  </w:t>
      </w:r>
      <w:r w:rsidR="00E42774">
        <w:t xml:space="preserve">However, </w:t>
      </w:r>
      <w:r>
        <w:t xml:space="preserve">surge events, </w:t>
      </w:r>
      <w:r w:rsidR="00E42774">
        <w:t xml:space="preserve">may result in the </w:t>
      </w:r>
      <w:r w:rsidR="00F55EA7">
        <w:t xml:space="preserve">temporary </w:t>
      </w:r>
      <w:r w:rsidR="00F10547">
        <w:t>de</w:t>
      </w:r>
      <w:r w:rsidR="00F55EA7">
        <w:t>ployment</w:t>
      </w:r>
      <w:r>
        <w:t xml:space="preserve"> of staff</w:t>
      </w:r>
      <w:r w:rsidR="00395AD4">
        <w:t>ing</w:t>
      </w:r>
      <w:r>
        <w:t xml:space="preserve"> and </w:t>
      </w:r>
      <w:r w:rsidR="00E42774">
        <w:t xml:space="preserve">resources </w:t>
      </w:r>
      <w:r w:rsidR="00395AD4">
        <w:t xml:space="preserve">between Area Offices and </w:t>
      </w:r>
      <w:r w:rsidR="00534E66">
        <w:t xml:space="preserve">local health care </w:t>
      </w:r>
      <w:r w:rsidR="00F55EA7">
        <w:t>facilities.</w:t>
      </w:r>
    </w:p>
    <w:p w:rsidR="00DA1480" w:rsidRDefault="00DA1480" w:rsidP="00F81991">
      <w:pPr>
        <w:spacing w:line="360" w:lineRule="auto"/>
      </w:pPr>
    </w:p>
    <w:p w:rsidR="00F81991" w:rsidRDefault="00B84323" w:rsidP="00F81991">
      <w:pPr>
        <w:spacing w:line="360" w:lineRule="auto"/>
      </w:pPr>
      <w:r>
        <w:t xml:space="preserve">Inherent in all </w:t>
      </w:r>
      <w:r w:rsidR="00B64119">
        <w:t xml:space="preserve">aspects </w:t>
      </w:r>
      <w:r>
        <w:t>of the above</w:t>
      </w:r>
      <w:r w:rsidR="00B64119">
        <w:t xml:space="preserve"> discussions, and regardless of the status of any given State or Federal emergency or disaster declaration, </w:t>
      </w:r>
      <w:r>
        <w:t xml:space="preserve">IHS </w:t>
      </w:r>
      <w:r w:rsidR="00B64119">
        <w:t xml:space="preserve">HQ, </w:t>
      </w:r>
      <w:r>
        <w:t>Area Offices</w:t>
      </w:r>
      <w:r w:rsidR="00B64119">
        <w:t>,</w:t>
      </w:r>
      <w:r>
        <w:t xml:space="preserve"> and I/T/U </w:t>
      </w:r>
      <w:r w:rsidR="00534E66">
        <w:t>staff</w:t>
      </w:r>
      <w:r w:rsidR="00B64119">
        <w:t xml:space="preserve"> seek to maintain proactive communication and coordination with all appropriate Tribal, local, State and Federal partners to maximize assured integration, efficacy, and efficiency of plans and response</w:t>
      </w:r>
      <w:r w:rsidR="00F227F9">
        <w:t xml:space="preserve">.  </w:t>
      </w:r>
    </w:p>
    <w:p w:rsidR="00395AD4" w:rsidRDefault="00395AD4" w:rsidP="00F81991">
      <w:pPr>
        <w:spacing w:line="360" w:lineRule="auto"/>
        <w:rPr>
          <w:b/>
        </w:rPr>
      </w:pPr>
    </w:p>
    <w:p w:rsidR="00F81991" w:rsidRPr="002D37CB" w:rsidRDefault="00F81991" w:rsidP="00F81991">
      <w:pPr>
        <w:spacing w:line="360" w:lineRule="auto"/>
        <w:rPr>
          <w:b/>
        </w:rPr>
      </w:pPr>
      <w:r w:rsidRPr="002D37CB">
        <w:rPr>
          <w:b/>
        </w:rPr>
        <w:t>Complexit</w:t>
      </w:r>
      <w:r>
        <w:rPr>
          <w:b/>
        </w:rPr>
        <w:t xml:space="preserve">ies </w:t>
      </w:r>
      <w:r w:rsidRPr="002D37CB">
        <w:rPr>
          <w:b/>
        </w:rPr>
        <w:t xml:space="preserve">Affecting </w:t>
      </w:r>
      <w:r w:rsidR="004661BF">
        <w:rPr>
          <w:b/>
        </w:rPr>
        <w:t xml:space="preserve">Health Service, and </w:t>
      </w:r>
      <w:r w:rsidRPr="002D37CB">
        <w:rPr>
          <w:b/>
        </w:rPr>
        <w:t>Emergency</w:t>
      </w:r>
      <w:r w:rsidR="004661BF">
        <w:rPr>
          <w:b/>
        </w:rPr>
        <w:t xml:space="preserve"> and Disaster </w:t>
      </w:r>
      <w:r w:rsidRPr="002D37CB">
        <w:rPr>
          <w:b/>
        </w:rPr>
        <w:t>Support to Tribes</w:t>
      </w:r>
    </w:p>
    <w:p w:rsidR="00F81991" w:rsidRDefault="00F81991" w:rsidP="00B64119">
      <w:pPr>
        <w:spacing w:line="360" w:lineRule="auto"/>
      </w:pPr>
      <w:r w:rsidRPr="001B4E09">
        <w:t>Under the Indian Self-Determination and</w:t>
      </w:r>
      <w:r w:rsidRPr="001B4E09">
        <w:rPr>
          <w:color w:val="FF0000"/>
        </w:rPr>
        <w:t xml:space="preserve"> </w:t>
      </w:r>
      <w:r w:rsidRPr="001B4E09">
        <w:t>Education Assistance Act (ISDEAA), many Tribes</w:t>
      </w:r>
      <w:r w:rsidRPr="008B6A82">
        <w:t xml:space="preserve"> across the country have assumed </w:t>
      </w:r>
      <w:r w:rsidR="00F81708">
        <w:t xml:space="preserve">responsibility </w:t>
      </w:r>
      <w:r w:rsidRPr="008B6A82">
        <w:t>for health care</w:t>
      </w:r>
      <w:r>
        <w:t xml:space="preserve"> </w:t>
      </w:r>
      <w:r w:rsidRPr="008B6A82">
        <w:t xml:space="preserve">delivery </w:t>
      </w:r>
      <w:r w:rsidR="00534E66">
        <w:t xml:space="preserve">and emergency preparedness </w:t>
      </w:r>
      <w:r w:rsidRPr="008B6A82">
        <w:t>within their communities</w:t>
      </w:r>
      <w:r w:rsidR="00F81708">
        <w:t xml:space="preserve"> during emergency situations.  </w:t>
      </w:r>
      <w:r w:rsidR="00DF1AF8">
        <w:t>IHS Area Office and HQs staff provide technical assistance and support, as appropriate.</w:t>
      </w:r>
      <w:r>
        <w:t xml:space="preserve">   </w:t>
      </w:r>
    </w:p>
    <w:p w:rsidR="00A11625" w:rsidRDefault="00A11625" w:rsidP="00F81991">
      <w:pPr>
        <w:spacing w:line="360" w:lineRule="auto"/>
      </w:pPr>
    </w:p>
    <w:p w:rsidR="00F81991" w:rsidRDefault="00466C5D" w:rsidP="00F81991">
      <w:pPr>
        <w:spacing w:line="360" w:lineRule="auto"/>
      </w:pPr>
      <w:r>
        <w:t>W</w:t>
      </w:r>
      <w:r w:rsidR="00466257">
        <w:t xml:space="preserve">hen an </w:t>
      </w:r>
      <w:r w:rsidR="00A11625">
        <w:t>emerg</w:t>
      </w:r>
      <w:r w:rsidR="00804E46">
        <w:t>enc</w:t>
      </w:r>
      <w:r w:rsidR="00466257">
        <w:t xml:space="preserve">y </w:t>
      </w:r>
      <w:r w:rsidR="00214A2F">
        <w:t>or disaster</w:t>
      </w:r>
      <w:r w:rsidR="00804E46">
        <w:t xml:space="preserve"> </w:t>
      </w:r>
      <w:r w:rsidR="00466257">
        <w:t xml:space="preserve">does not </w:t>
      </w:r>
      <w:r w:rsidR="00A11625">
        <w:t xml:space="preserve">receive a </w:t>
      </w:r>
      <w:r w:rsidR="00896ED5">
        <w:t xml:space="preserve">Stafford Act </w:t>
      </w:r>
      <w:r w:rsidR="00A11625">
        <w:t xml:space="preserve">Presidential emergency or disaster declaration, Tribes </w:t>
      </w:r>
      <w:r w:rsidR="00F81708">
        <w:t xml:space="preserve">may </w:t>
      </w:r>
      <w:r>
        <w:t xml:space="preserve">not independently request a Presidential emergency or disaster declaration.  Rather, in such circumstances, Tribes would only be authorized to </w:t>
      </w:r>
      <w:r w:rsidR="00F81708">
        <w:t xml:space="preserve">request </w:t>
      </w:r>
      <w:r w:rsidR="00A11625">
        <w:t>support and resources from</w:t>
      </w:r>
      <w:r w:rsidR="00896ED5">
        <w:t xml:space="preserve"> </w:t>
      </w:r>
      <w:r w:rsidR="00A11625">
        <w:t>Federal, State, local, NGO</w:t>
      </w:r>
      <w:r w:rsidR="00896ED5">
        <w:t xml:space="preserve"> and private sources.  </w:t>
      </w:r>
      <w:r>
        <w:t xml:space="preserve">  If there is a Presidential declaration, tribes may become direct grantees.  </w:t>
      </w:r>
    </w:p>
    <w:p w:rsidR="00B30935" w:rsidRDefault="00B30935" w:rsidP="00B30935">
      <w:pPr>
        <w:spacing w:line="360" w:lineRule="auto"/>
      </w:pPr>
    </w:p>
    <w:p w:rsidR="00B30935" w:rsidRDefault="00F81708" w:rsidP="00B30935">
      <w:pPr>
        <w:spacing w:line="360" w:lineRule="auto"/>
      </w:pPr>
      <w:r>
        <w:t>I</w:t>
      </w:r>
      <w:r w:rsidR="00B30935">
        <w:t>t is important to note</w:t>
      </w:r>
      <w:r w:rsidR="008636E5">
        <w:t xml:space="preserve"> </w:t>
      </w:r>
      <w:r w:rsidR="00B30935">
        <w:t xml:space="preserve">that Tribal leadership and emergency management program </w:t>
      </w:r>
      <w:r w:rsidR="00466C5D">
        <w:t xml:space="preserve">leaders </w:t>
      </w:r>
      <w:r>
        <w:t xml:space="preserve">may </w:t>
      </w:r>
      <w:r w:rsidR="00B30935">
        <w:t xml:space="preserve">find </w:t>
      </w:r>
      <w:r>
        <w:t>governing statutes</w:t>
      </w:r>
      <w:r w:rsidR="00B30935">
        <w:t>, policies, regulations, and procedures</w:t>
      </w:r>
      <w:r w:rsidR="008636E5">
        <w:t xml:space="preserve"> </w:t>
      </w:r>
      <w:r>
        <w:t>confusing, and have expressed their frustration at times during Tribal listening sessions with Federal departments and agencies.</w:t>
      </w:r>
      <w:r w:rsidR="00B30935">
        <w:t xml:space="preserve"> </w:t>
      </w:r>
      <w:r w:rsidR="000E1413">
        <w:t xml:space="preserve">  IHS also appreciates the attention this Committee has given to these expressed concerns by working with Tribes to better understand various policies and authorities in how they intersect or overlap.</w:t>
      </w:r>
    </w:p>
    <w:p w:rsidR="00B30935" w:rsidRDefault="00B30935" w:rsidP="00F81991">
      <w:pPr>
        <w:spacing w:line="360" w:lineRule="auto"/>
      </w:pPr>
    </w:p>
    <w:p w:rsidR="00382F83" w:rsidRPr="00382F83" w:rsidRDefault="00382F83" w:rsidP="00F81991">
      <w:pPr>
        <w:spacing w:line="360" w:lineRule="auto"/>
        <w:rPr>
          <w:b/>
        </w:rPr>
      </w:pPr>
      <w:r w:rsidRPr="00382F83">
        <w:rPr>
          <w:b/>
        </w:rPr>
        <w:t>Summary</w:t>
      </w:r>
    </w:p>
    <w:p w:rsidR="005D58CF" w:rsidRDefault="00233821" w:rsidP="00F81991">
      <w:pPr>
        <w:spacing w:line="360" w:lineRule="auto"/>
      </w:pPr>
      <w:r>
        <w:t xml:space="preserve">In summary, </w:t>
      </w:r>
      <w:r w:rsidR="00723A80">
        <w:t xml:space="preserve">IHS seeks </w:t>
      </w:r>
      <w:r w:rsidR="00382F83">
        <w:t xml:space="preserve">to provide </w:t>
      </w:r>
      <w:r w:rsidR="00723A80">
        <w:t xml:space="preserve">the best culturally acceptable </w:t>
      </w:r>
      <w:r w:rsidR="00382F83">
        <w:t xml:space="preserve">health services to </w:t>
      </w:r>
      <w:r w:rsidR="00723A80">
        <w:t xml:space="preserve">all Federally recognized Tribes, </w:t>
      </w:r>
      <w:r w:rsidR="00214A2F">
        <w:t>while respecting th</w:t>
      </w:r>
      <w:r w:rsidR="00723A80">
        <w:t xml:space="preserve">eir sovereignty, and </w:t>
      </w:r>
      <w:r w:rsidR="00214A2F">
        <w:t>self-</w:t>
      </w:r>
      <w:r w:rsidR="00B30935">
        <w:t>determination</w:t>
      </w:r>
      <w:r w:rsidR="00723A80">
        <w:t xml:space="preserve">.  IHS </w:t>
      </w:r>
      <w:r w:rsidR="005D58CF">
        <w:t xml:space="preserve">is committed to </w:t>
      </w:r>
      <w:r w:rsidR="00723A80">
        <w:t>provid</w:t>
      </w:r>
      <w:r w:rsidR="005D58CF">
        <w:t xml:space="preserve">ing </w:t>
      </w:r>
      <w:r w:rsidR="00382F83">
        <w:t>comprehensive health service</w:t>
      </w:r>
      <w:r w:rsidR="005D58CF">
        <w:t xml:space="preserve">s to Indian Country in </w:t>
      </w:r>
      <w:r w:rsidR="00F81708">
        <w:t xml:space="preserve">response to </w:t>
      </w:r>
      <w:r w:rsidR="00382F83">
        <w:t xml:space="preserve">emergencies and disasters, </w:t>
      </w:r>
      <w:r w:rsidR="00723A80">
        <w:t xml:space="preserve">whether </w:t>
      </w:r>
      <w:r w:rsidR="00382F83">
        <w:t>Presidentially declared, or</w:t>
      </w:r>
      <w:r w:rsidR="008636E5">
        <w:t xml:space="preserve"> </w:t>
      </w:r>
      <w:r w:rsidR="00F81708">
        <w:t>not</w:t>
      </w:r>
      <w:r w:rsidR="00382F83">
        <w:t>.</w:t>
      </w:r>
      <w:r w:rsidR="00E92E97">
        <w:t xml:space="preserve"> </w:t>
      </w:r>
      <w:r w:rsidR="00214A2F">
        <w:t xml:space="preserve"> In addition, </w:t>
      </w:r>
      <w:r w:rsidR="00723A80">
        <w:t xml:space="preserve">IHS </w:t>
      </w:r>
      <w:r w:rsidR="005D58CF">
        <w:t xml:space="preserve">will </w:t>
      </w:r>
      <w:r w:rsidR="00723A80">
        <w:t>continually seek</w:t>
      </w:r>
      <w:r w:rsidR="00B30935">
        <w:t xml:space="preserve"> opportunities to </w:t>
      </w:r>
      <w:r w:rsidR="00723A80">
        <w:t xml:space="preserve">improve our </w:t>
      </w:r>
      <w:r w:rsidR="00B30935">
        <w:t xml:space="preserve">communication, </w:t>
      </w:r>
      <w:r w:rsidR="00723A80">
        <w:t>integr</w:t>
      </w:r>
      <w:r w:rsidR="00B30935">
        <w:t xml:space="preserve">ation, and coordination with </w:t>
      </w:r>
      <w:r w:rsidR="005D58CF">
        <w:t xml:space="preserve">all </w:t>
      </w:r>
      <w:r w:rsidR="00B30935">
        <w:t xml:space="preserve">Federal, State, local, Tribal and NGO partners. </w:t>
      </w:r>
      <w:r w:rsidR="005D58CF">
        <w:t xml:space="preserve"> </w:t>
      </w:r>
    </w:p>
    <w:p w:rsidR="005D58CF" w:rsidRDefault="005D58CF" w:rsidP="00F81991">
      <w:pPr>
        <w:spacing w:line="360" w:lineRule="auto"/>
      </w:pPr>
    </w:p>
    <w:p w:rsidR="008E05A7" w:rsidRDefault="0082588D" w:rsidP="00F81991">
      <w:pPr>
        <w:spacing w:line="360" w:lineRule="auto"/>
      </w:pPr>
      <w:r>
        <w:t>F</w:t>
      </w:r>
      <w:r w:rsidR="005D58CF">
        <w:t xml:space="preserve">inally, </w:t>
      </w:r>
      <w:r w:rsidR="00B30935">
        <w:t>IHS participate</w:t>
      </w:r>
      <w:r w:rsidR="00914A3C">
        <w:t>s</w:t>
      </w:r>
      <w:r w:rsidR="00B30935">
        <w:t xml:space="preserve"> in forum</w:t>
      </w:r>
      <w:r w:rsidR="005D58CF">
        <w:t>s</w:t>
      </w:r>
      <w:r w:rsidR="00B30935">
        <w:t xml:space="preserve"> to review, discuss</w:t>
      </w:r>
      <w:r w:rsidR="005D58CF">
        <w:t>,</w:t>
      </w:r>
      <w:r w:rsidR="00B30935">
        <w:t xml:space="preserve"> and improve</w:t>
      </w:r>
      <w:r w:rsidR="005D58CF">
        <w:t xml:space="preserve"> Federal-level coordination, resourcing, and response to Indian Country emergencies and disasters</w:t>
      </w:r>
      <w:r w:rsidR="008E05A7">
        <w:t>.</w:t>
      </w:r>
    </w:p>
    <w:p w:rsidR="00E92E97" w:rsidRDefault="00E92E97" w:rsidP="008E05A7">
      <w:pPr>
        <w:spacing w:line="360" w:lineRule="auto"/>
      </w:pPr>
    </w:p>
    <w:p w:rsidR="0082588D" w:rsidRDefault="0082588D" w:rsidP="008E05A7">
      <w:pPr>
        <w:spacing w:line="360" w:lineRule="auto"/>
      </w:pPr>
      <w:r>
        <w:t>This concludes my remarks, and I will be happy to answer any questions you may have.</w:t>
      </w:r>
    </w:p>
    <w:p w:rsidR="0082588D" w:rsidRDefault="0082588D" w:rsidP="008E05A7">
      <w:pPr>
        <w:spacing w:line="360" w:lineRule="auto"/>
      </w:pPr>
    </w:p>
    <w:p w:rsidR="008E05A7" w:rsidRDefault="008E05A7" w:rsidP="008E05A7">
      <w:pPr>
        <w:spacing w:line="360" w:lineRule="auto"/>
      </w:pPr>
      <w:r>
        <w:t>Thank you.</w:t>
      </w:r>
    </w:p>
    <w:p w:rsidR="00F81991" w:rsidRDefault="00F81991" w:rsidP="006F6765">
      <w:pPr>
        <w:pStyle w:val="ListParagraph"/>
        <w:spacing w:before="120" w:after="120" w:line="360" w:lineRule="auto"/>
        <w:ind w:left="0"/>
      </w:pPr>
    </w:p>
    <w:sectPr w:rsidR="00F81991" w:rsidSect="00391EE4"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88" w:rsidRDefault="00F10688">
      <w:r>
        <w:separator/>
      </w:r>
    </w:p>
  </w:endnote>
  <w:endnote w:type="continuationSeparator" w:id="0">
    <w:p w:rsidR="00F10688" w:rsidRDefault="00F1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88" w:rsidRDefault="00F10688">
      <w:r>
        <w:separator/>
      </w:r>
    </w:p>
  </w:footnote>
  <w:footnote w:type="continuationSeparator" w:id="0">
    <w:p w:rsidR="00F10688" w:rsidRDefault="00F10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FA7"/>
    <w:multiLevelType w:val="hybridMultilevel"/>
    <w:tmpl w:val="CEE0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671CD"/>
    <w:multiLevelType w:val="multilevel"/>
    <w:tmpl w:val="4DA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00B2F"/>
    <w:multiLevelType w:val="multilevel"/>
    <w:tmpl w:val="5D5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3005F"/>
    <w:multiLevelType w:val="multilevel"/>
    <w:tmpl w:val="EFF4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81991"/>
    <w:rsid w:val="00016167"/>
    <w:rsid w:val="0009458F"/>
    <w:rsid w:val="000B2D98"/>
    <w:rsid w:val="000E1413"/>
    <w:rsid w:val="000E1620"/>
    <w:rsid w:val="001A1CB6"/>
    <w:rsid w:val="001B2854"/>
    <w:rsid w:val="001B4E09"/>
    <w:rsid w:val="001C2555"/>
    <w:rsid w:val="001D6EDC"/>
    <w:rsid w:val="001E77C2"/>
    <w:rsid w:val="00212B64"/>
    <w:rsid w:val="00214A2F"/>
    <w:rsid w:val="00233821"/>
    <w:rsid w:val="002462F0"/>
    <w:rsid w:val="002507AF"/>
    <w:rsid w:val="00295339"/>
    <w:rsid w:val="002C167D"/>
    <w:rsid w:val="002E4E46"/>
    <w:rsid w:val="002F0F01"/>
    <w:rsid w:val="00300432"/>
    <w:rsid w:val="0036244B"/>
    <w:rsid w:val="00382F83"/>
    <w:rsid w:val="003858D2"/>
    <w:rsid w:val="00391EE4"/>
    <w:rsid w:val="00395AD4"/>
    <w:rsid w:val="003D37BD"/>
    <w:rsid w:val="003D7BAA"/>
    <w:rsid w:val="00403F43"/>
    <w:rsid w:val="00425870"/>
    <w:rsid w:val="0043278F"/>
    <w:rsid w:val="0045077E"/>
    <w:rsid w:val="0046121E"/>
    <w:rsid w:val="004661BF"/>
    <w:rsid w:val="00466257"/>
    <w:rsid w:val="00466C5D"/>
    <w:rsid w:val="004B7DCD"/>
    <w:rsid w:val="004D66F5"/>
    <w:rsid w:val="0051439B"/>
    <w:rsid w:val="00534E66"/>
    <w:rsid w:val="00535A06"/>
    <w:rsid w:val="00586C5E"/>
    <w:rsid w:val="00595398"/>
    <w:rsid w:val="005A6E7C"/>
    <w:rsid w:val="005B1392"/>
    <w:rsid w:val="005D58CF"/>
    <w:rsid w:val="005D5B23"/>
    <w:rsid w:val="00612C5B"/>
    <w:rsid w:val="0066023D"/>
    <w:rsid w:val="006625CF"/>
    <w:rsid w:val="0067364E"/>
    <w:rsid w:val="00680FB2"/>
    <w:rsid w:val="006837D3"/>
    <w:rsid w:val="00694E1D"/>
    <w:rsid w:val="006B1ACA"/>
    <w:rsid w:val="006B6F8B"/>
    <w:rsid w:val="006C398B"/>
    <w:rsid w:val="006C3D35"/>
    <w:rsid w:val="006D11BB"/>
    <w:rsid w:val="006E21E5"/>
    <w:rsid w:val="006E51A6"/>
    <w:rsid w:val="006F6765"/>
    <w:rsid w:val="00722020"/>
    <w:rsid w:val="00723A80"/>
    <w:rsid w:val="007344AB"/>
    <w:rsid w:val="00736599"/>
    <w:rsid w:val="007374F8"/>
    <w:rsid w:val="007814E4"/>
    <w:rsid w:val="007A567E"/>
    <w:rsid w:val="007E31FF"/>
    <w:rsid w:val="007F2EAE"/>
    <w:rsid w:val="00800AA3"/>
    <w:rsid w:val="008033D8"/>
    <w:rsid w:val="00804E46"/>
    <w:rsid w:val="0082588D"/>
    <w:rsid w:val="00831421"/>
    <w:rsid w:val="008636E5"/>
    <w:rsid w:val="00892778"/>
    <w:rsid w:val="00894A29"/>
    <w:rsid w:val="00896ED5"/>
    <w:rsid w:val="008B2A50"/>
    <w:rsid w:val="008E05A7"/>
    <w:rsid w:val="008E25B9"/>
    <w:rsid w:val="008F4916"/>
    <w:rsid w:val="00914A3C"/>
    <w:rsid w:val="00923C6E"/>
    <w:rsid w:val="00923DE6"/>
    <w:rsid w:val="009564E7"/>
    <w:rsid w:val="009C0F85"/>
    <w:rsid w:val="009E7D9D"/>
    <w:rsid w:val="009F6418"/>
    <w:rsid w:val="00A11625"/>
    <w:rsid w:val="00A27DB2"/>
    <w:rsid w:val="00A43A73"/>
    <w:rsid w:val="00A7355E"/>
    <w:rsid w:val="00A9526B"/>
    <w:rsid w:val="00A96B72"/>
    <w:rsid w:val="00AC745F"/>
    <w:rsid w:val="00B02842"/>
    <w:rsid w:val="00B044BE"/>
    <w:rsid w:val="00B11ACA"/>
    <w:rsid w:val="00B30935"/>
    <w:rsid w:val="00B309D0"/>
    <w:rsid w:val="00B45F9B"/>
    <w:rsid w:val="00B64119"/>
    <w:rsid w:val="00B729F5"/>
    <w:rsid w:val="00B80662"/>
    <w:rsid w:val="00B81590"/>
    <w:rsid w:val="00B84323"/>
    <w:rsid w:val="00BB6414"/>
    <w:rsid w:val="00BB6439"/>
    <w:rsid w:val="00BC2C32"/>
    <w:rsid w:val="00BC4151"/>
    <w:rsid w:val="00BC4A7D"/>
    <w:rsid w:val="00BF46F6"/>
    <w:rsid w:val="00C00BCA"/>
    <w:rsid w:val="00C15639"/>
    <w:rsid w:val="00C27F6F"/>
    <w:rsid w:val="00C47445"/>
    <w:rsid w:val="00C54903"/>
    <w:rsid w:val="00C5556E"/>
    <w:rsid w:val="00C71390"/>
    <w:rsid w:val="00C808D7"/>
    <w:rsid w:val="00C8210B"/>
    <w:rsid w:val="00C96D57"/>
    <w:rsid w:val="00D30D15"/>
    <w:rsid w:val="00D41F77"/>
    <w:rsid w:val="00D50A0B"/>
    <w:rsid w:val="00D53877"/>
    <w:rsid w:val="00D740BC"/>
    <w:rsid w:val="00DA1480"/>
    <w:rsid w:val="00DC4CF8"/>
    <w:rsid w:val="00DF1AF8"/>
    <w:rsid w:val="00E30F58"/>
    <w:rsid w:val="00E42774"/>
    <w:rsid w:val="00E92E97"/>
    <w:rsid w:val="00EC1B59"/>
    <w:rsid w:val="00ED7882"/>
    <w:rsid w:val="00F02DE9"/>
    <w:rsid w:val="00F10547"/>
    <w:rsid w:val="00F10688"/>
    <w:rsid w:val="00F1292B"/>
    <w:rsid w:val="00F14ACF"/>
    <w:rsid w:val="00F227F9"/>
    <w:rsid w:val="00F5476B"/>
    <w:rsid w:val="00F55EA7"/>
    <w:rsid w:val="00F81708"/>
    <w:rsid w:val="00F81991"/>
    <w:rsid w:val="00F849C7"/>
    <w:rsid w:val="00F867A0"/>
    <w:rsid w:val="00FD4F90"/>
    <w:rsid w:val="00F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A0B"/>
    <w:rPr>
      <w:sz w:val="24"/>
      <w:szCs w:val="24"/>
    </w:rPr>
  </w:style>
  <w:style w:type="paragraph" w:styleId="Heading1">
    <w:name w:val="heading 1"/>
    <w:basedOn w:val="Normal"/>
    <w:qFormat/>
    <w:rsid w:val="00AC74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819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F81991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qFormat/>
    <w:rsid w:val="00F81991"/>
    <w:pPr>
      <w:ind w:left="720"/>
      <w:contextualSpacing/>
    </w:pPr>
  </w:style>
  <w:style w:type="character" w:styleId="EndnoteReference">
    <w:name w:val="endnote reference"/>
    <w:basedOn w:val="DefaultParagraphFont"/>
    <w:semiHidden/>
    <w:rsid w:val="00F819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F819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F81991"/>
    <w:rPr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F81991"/>
    <w:rPr>
      <w:rFonts w:cs="Times New Roman"/>
      <w:vertAlign w:val="superscript"/>
    </w:rPr>
  </w:style>
  <w:style w:type="paragraph" w:styleId="Header">
    <w:name w:val="header"/>
    <w:basedOn w:val="Normal"/>
    <w:link w:val="HeaderChar"/>
    <w:semiHidden/>
    <w:rsid w:val="00F81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F81991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81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1991"/>
    <w:rPr>
      <w:sz w:val="24"/>
      <w:szCs w:val="24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F819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F81991"/>
    <w:rPr>
      <w:lang w:val="en-US" w:eastAsia="en-US" w:bidi="ar-SA"/>
    </w:rPr>
  </w:style>
  <w:style w:type="paragraph" w:styleId="NormalWeb">
    <w:name w:val="Normal (Web)"/>
    <w:basedOn w:val="Normal"/>
    <w:rsid w:val="00DC4CF8"/>
    <w:pPr>
      <w:spacing w:after="150" w:line="360" w:lineRule="atLeast"/>
    </w:pPr>
    <w:rPr>
      <w:rFonts w:ascii="Verdana" w:hAnsi="Verdana"/>
      <w:color w:val="000000"/>
      <w:sz w:val="20"/>
      <w:szCs w:val="20"/>
    </w:rPr>
  </w:style>
  <w:style w:type="character" w:styleId="Strong">
    <w:name w:val="Strong"/>
    <w:basedOn w:val="DefaultParagraphFont"/>
    <w:qFormat/>
    <w:rsid w:val="00586C5E"/>
    <w:rPr>
      <w:b/>
      <w:bCs/>
    </w:rPr>
  </w:style>
  <w:style w:type="paragraph" w:styleId="BalloonText">
    <w:name w:val="Balloon Text"/>
    <w:basedOn w:val="Normal"/>
    <w:link w:val="BalloonTextChar"/>
    <w:rsid w:val="00BC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1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507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07AF"/>
  </w:style>
  <w:style w:type="paragraph" w:styleId="CommentSubject">
    <w:name w:val="annotation subject"/>
    <w:basedOn w:val="CommentText"/>
    <w:next w:val="CommentText"/>
    <w:link w:val="CommentSubjectChar"/>
    <w:rsid w:val="00250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0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61C9-0482-4256-968A-5215E6B9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AND HUMAN SERVICES</vt:lpstr>
    </vt:vector>
  </TitlesOfParts>
  <Company>OMB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HUMAN SERVICES</dc:title>
  <dc:creator>John Mahon</dc:creator>
  <cp:lastModifiedBy>june tracy</cp:lastModifiedBy>
  <cp:revision>2</cp:revision>
  <cp:lastPrinted>2011-07-19T18:18:00Z</cp:lastPrinted>
  <dcterms:created xsi:type="dcterms:W3CDTF">2011-07-20T20:05:00Z</dcterms:created>
  <dcterms:modified xsi:type="dcterms:W3CDTF">2011-07-20T20:05:00Z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