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1F" w:rsidRPr="00095144" w:rsidRDefault="00F07EB0" w:rsidP="00095144">
      <w:pPr>
        <w:spacing w:after="36"/>
        <w:jc w:val="center"/>
        <w:rPr>
          <w:rFonts w:ascii="Times New Roman" w:hAnsi="Times New Roman"/>
          <w:b/>
          <w:color w:val="000000"/>
          <w:sz w:val="28"/>
          <w:szCs w:val="28"/>
        </w:rPr>
      </w:pPr>
      <w:proofErr w:type="spellStart"/>
      <w:r w:rsidRPr="00095144">
        <w:rPr>
          <w:rFonts w:ascii="Times New Roman" w:hAnsi="Times New Roman"/>
          <w:b/>
          <w:color w:val="000000"/>
          <w:sz w:val="28"/>
          <w:szCs w:val="28"/>
        </w:rPr>
        <w:t>Maniilaq</w:t>
      </w:r>
      <w:proofErr w:type="spellEnd"/>
      <w:r w:rsidRPr="00095144">
        <w:rPr>
          <w:rFonts w:ascii="Times New Roman" w:hAnsi="Times New Roman"/>
          <w:b/>
          <w:color w:val="000000"/>
          <w:sz w:val="28"/>
          <w:szCs w:val="28"/>
        </w:rPr>
        <w:t xml:space="preserve"> Association</w:t>
      </w:r>
    </w:p>
    <w:p w:rsidR="0035478E" w:rsidRPr="00095144" w:rsidRDefault="00F07EB0" w:rsidP="00095144">
      <w:pPr>
        <w:jc w:val="center"/>
        <w:rPr>
          <w:rFonts w:ascii="Times New Roman" w:hAnsi="Times New Roman"/>
          <w:b/>
          <w:color w:val="000000"/>
          <w:sz w:val="28"/>
          <w:szCs w:val="28"/>
        </w:rPr>
      </w:pPr>
      <w:r w:rsidRPr="00095144">
        <w:rPr>
          <w:rFonts w:ascii="Times New Roman" w:hAnsi="Times New Roman"/>
          <w:b/>
          <w:color w:val="000000"/>
          <w:sz w:val="28"/>
          <w:szCs w:val="28"/>
        </w:rPr>
        <w:t>P.O. Box 256</w:t>
      </w:r>
    </w:p>
    <w:p w:rsidR="00984A1F" w:rsidRPr="00095144" w:rsidRDefault="00F07EB0" w:rsidP="00095144">
      <w:pPr>
        <w:jc w:val="center"/>
        <w:rPr>
          <w:rFonts w:ascii="Times New Roman" w:hAnsi="Times New Roman"/>
          <w:b/>
          <w:color w:val="000000"/>
          <w:sz w:val="28"/>
          <w:szCs w:val="28"/>
        </w:rPr>
      </w:pPr>
      <w:r w:rsidRPr="00095144">
        <w:rPr>
          <w:rFonts w:ascii="Times New Roman" w:hAnsi="Times New Roman"/>
          <w:b/>
          <w:color w:val="000000"/>
          <w:sz w:val="28"/>
          <w:szCs w:val="28"/>
        </w:rPr>
        <w:t xml:space="preserve">Kotzebue, Alaska 99752 </w:t>
      </w:r>
      <w:r w:rsidRPr="00095144">
        <w:rPr>
          <w:rFonts w:ascii="Times New Roman" w:hAnsi="Times New Roman"/>
          <w:b/>
          <w:color w:val="000000"/>
          <w:sz w:val="28"/>
          <w:szCs w:val="28"/>
        </w:rPr>
        <w:br/>
        <w:t>(907) 442-3311</w:t>
      </w:r>
    </w:p>
    <w:p w:rsidR="00CB172F" w:rsidRPr="00095144" w:rsidRDefault="00984A1F" w:rsidP="0020334C">
      <w:pPr>
        <w:spacing w:before="180" w:line="276" w:lineRule="auto"/>
        <w:jc w:val="center"/>
        <w:rPr>
          <w:rFonts w:ascii="Times New Roman" w:hAnsi="Times New Roman"/>
          <w:color w:val="000000"/>
          <w:sz w:val="24"/>
          <w:szCs w:val="24"/>
        </w:rPr>
      </w:pPr>
      <w:r w:rsidRPr="00095144">
        <w:rPr>
          <w:rFonts w:ascii="Times New Roman" w:hAnsi="Times New Roman"/>
          <w:color w:val="000000"/>
          <w:sz w:val="24"/>
          <w:szCs w:val="24"/>
        </w:rPr>
        <w:t>Testimony Presented before the Senate Committee on Indian Affairs on S</w:t>
      </w:r>
      <w:r w:rsidR="00B15207" w:rsidRPr="00095144">
        <w:rPr>
          <w:rFonts w:ascii="Times New Roman" w:hAnsi="Times New Roman"/>
          <w:color w:val="000000"/>
          <w:sz w:val="24"/>
          <w:szCs w:val="24"/>
        </w:rPr>
        <w:t>.</w:t>
      </w:r>
      <w:r w:rsidRPr="00095144">
        <w:rPr>
          <w:rFonts w:ascii="Times New Roman" w:hAnsi="Times New Roman"/>
          <w:color w:val="000000"/>
          <w:sz w:val="24"/>
          <w:szCs w:val="24"/>
        </w:rPr>
        <w:t xml:space="preserve"> 1898,</w:t>
      </w:r>
    </w:p>
    <w:p w:rsidR="00CB172F" w:rsidRPr="00095144" w:rsidRDefault="00CB172F" w:rsidP="0020334C">
      <w:pPr>
        <w:spacing w:before="180" w:line="276" w:lineRule="auto"/>
        <w:jc w:val="center"/>
        <w:rPr>
          <w:rFonts w:ascii="Times New Roman" w:hAnsi="Times New Roman"/>
          <w:color w:val="000000"/>
          <w:sz w:val="24"/>
          <w:szCs w:val="24"/>
        </w:rPr>
      </w:pPr>
      <w:r w:rsidRPr="00095144">
        <w:rPr>
          <w:rFonts w:ascii="Times New Roman" w:hAnsi="Times New Roman"/>
          <w:color w:val="000000"/>
          <w:sz w:val="24"/>
          <w:szCs w:val="24"/>
        </w:rPr>
        <w:t>A Bill for the C</w:t>
      </w:r>
      <w:r w:rsidR="00984A1F" w:rsidRPr="00095144">
        <w:rPr>
          <w:rFonts w:ascii="Times New Roman" w:hAnsi="Times New Roman"/>
          <w:color w:val="000000"/>
          <w:sz w:val="24"/>
          <w:szCs w:val="24"/>
        </w:rPr>
        <w:t xml:space="preserve">onveyance of Certain </w:t>
      </w:r>
      <w:r w:rsidRPr="00095144">
        <w:rPr>
          <w:rFonts w:ascii="Times New Roman" w:hAnsi="Times New Roman"/>
          <w:color w:val="000000"/>
          <w:sz w:val="24"/>
          <w:szCs w:val="24"/>
        </w:rPr>
        <w:t>P</w:t>
      </w:r>
      <w:r w:rsidR="00984A1F" w:rsidRPr="00095144">
        <w:rPr>
          <w:rFonts w:ascii="Times New Roman" w:hAnsi="Times New Roman"/>
          <w:color w:val="000000"/>
          <w:sz w:val="24"/>
          <w:szCs w:val="24"/>
        </w:rPr>
        <w:t>roperty f</w:t>
      </w:r>
      <w:r w:rsidRPr="00095144">
        <w:rPr>
          <w:rFonts w:ascii="Times New Roman" w:hAnsi="Times New Roman"/>
          <w:color w:val="000000"/>
          <w:sz w:val="24"/>
          <w:szCs w:val="24"/>
        </w:rPr>
        <w:t>rom the U</w:t>
      </w:r>
      <w:r w:rsidR="00984A1F" w:rsidRPr="00095144">
        <w:rPr>
          <w:rFonts w:ascii="Times New Roman" w:hAnsi="Times New Roman"/>
          <w:color w:val="000000"/>
          <w:sz w:val="24"/>
          <w:szCs w:val="24"/>
        </w:rPr>
        <w:t xml:space="preserve">nited States to the </w:t>
      </w:r>
      <w:proofErr w:type="spellStart"/>
      <w:r w:rsidR="00984A1F" w:rsidRPr="00095144">
        <w:rPr>
          <w:rFonts w:ascii="Times New Roman" w:hAnsi="Times New Roman"/>
          <w:color w:val="000000"/>
          <w:sz w:val="24"/>
          <w:szCs w:val="24"/>
        </w:rPr>
        <w:t>Maniilaq</w:t>
      </w:r>
      <w:proofErr w:type="spellEnd"/>
      <w:r w:rsidR="00984A1F" w:rsidRPr="00095144">
        <w:rPr>
          <w:rFonts w:ascii="Times New Roman" w:hAnsi="Times New Roman"/>
          <w:color w:val="000000"/>
          <w:sz w:val="24"/>
          <w:szCs w:val="24"/>
        </w:rPr>
        <w:t xml:space="preserve"> Associati</w:t>
      </w:r>
      <w:r w:rsidRPr="00095144">
        <w:rPr>
          <w:rFonts w:ascii="Times New Roman" w:hAnsi="Times New Roman"/>
          <w:color w:val="000000"/>
          <w:sz w:val="24"/>
          <w:szCs w:val="24"/>
        </w:rPr>
        <w:t>on</w:t>
      </w:r>
    </w:p>
    <w:p w:rsidR="00CB68D3" w:rsidRPr="00095144" w:rsidRDefault="00E25E26" w:rsidP="0020334C">
      <w:pPr>
        <w:spacing w:before="180" w:line="276" w:lineRule="auto"/>
        <w:jc w:val="center"/>
        <w:rPr>
          <w:rFonts w:ascii="Times New Roman" w:hAnsi="Times New Roman"/>
          <w:color w:val="000000"/>
          <w:sz w:val="24"/>
          <w:szCs w:val="24"/>
        </w:rPr>
      </w:pPr>
      <w:r w:rsidRPr="00095144">
        <w:rPr>
          <w:rFonts w:ascii="Times New Roman" w:hAnsi="Times New Roman"/>
          <w:color w:val="000000"/>
          <w:sz w:val="24"/>
          <w:szCs w:val="24"/>
        </w:rPr>
        <w:t>March 22, 2012</w:t>
      </w:r>
    </w:p>
    <w:p w:rsidR="008F20ED" w:rsidRPr="00095144" w:rsidRDefault="00542575" w:rsidP="008F20ED">
      <w:pPr>
        <w:spacing w:before="180" w:line="276" w:lineRule="auto"/>
        <w:jc w:val="center"/>
        <w:rPr>
          <w:rFonts w:ascii="Times New Roman" w:hAnsi="Times New Roman"/>
          <w:color w:val="000000"/>
          <w:sz w:val="24"/>
          <w:szCs w:val="24"/>
        </w:rPr>
      </w:pPr>
      <w:r w:rsidRPr="00095144">
        <w:rPr>
          <w:rFonts w:ascii="Times New Roman" w:hAnsi="Times New Roman"/>
          <w:color w:val="000000"/>
          <w:sz w:val="24"/>
          <w:szCs w:val="24"/>
        </w:rPr>
        <w:t xml:space="preserve">Paul Hansen, </w:t>
      </w:r>
      <w:r w:rsidR="008F20ED">
        <w:rPr>
          <w:rFonts w:ascii="Times New Roman" w:hAnsi="Times New Roman"/>
          <w:color w:val="000000"/>
          <w:sz w:val="24"/>
          <w:szCs w:val="24"/>
        </w:rPr>
        <w:t>Deputy Administrator</w:t>
      </w:r>
    </w:p>
    <w:p w:rsidR="00D164EF" w:rsidRPr="00095144" w:rsidRDefault="00CB172F" w:rsidP="0020334C">
      <w:pPr>
        <w:spacing w:before="180" w:line="276" w:lineRule="auto"/>
        <w:jc w:val="center"/>
        <w:rPr>
          <w:rFonts w:ascii="Times New Roman" w:hAnsi="Times New Roman"/>
          <w:color w:val="000000"/>
          <w:sz w:val="24"/>
          <w:szCs w:val="24"/>
        </w:rPr>
      </w:pPr>
      <w:proofErr w:type="spellStart"/>
      <w:r w:rsidRPr="00095144">
        <w:rPr>
          <w:rFonts w:ascii="Times New Roman" w:hAnsi="Times New Roman"/>
          <w:color w:val="000000"/>
          <w:sz w:val="24"/>
          <w:szCs w:val="24"/>
        </w:rPr>
        <w:t>Maniilaq</w:t>
      </w:r>
      <w:proofErr w:type="spellEnd"/>
      <w:r w:rsidRPr="00095144">
        <w:rPr>
          <w:rFonts w:ascii="Times New Roman" w:hAnsi="Times New Roman"/>
          <w:color w:val="000000"/>
          <w:sz w:val="24"/>
          <w:szCs w:val="24"/>
        </w:rPr>
        <w:t xml:space="preserve"> </w:t>
      </w:r>
      <w:r w:rsidR="008F20ED">
        <w:rPr>
          <w:rFonts w:ascii="Times New Roman" w:hAnsi="Times New Roman"/>
          <w:color w:val="000000"/>
          <w:sz w:val="24"/>
          <w:szCs w:val="24"/>
        </w:rPr>
        <w:t>Health Center</w:t>
      </w:r>
    </w:p>
    <w:p w:rsidR="0022541F" w:rsidRPr="00095144" w:rsidRDefault="00CB172F" w:rsidP="0020334C">
      <w:pPr>
        <w:spacing w:before="216" w:line="276" w:lineRule="auto"/>
        <w:ind w:firstLine="720"/>
        <w:rPr>
          <w:rFonts w:ascii="Times New Roman" w:hAnsi="Times New Roman"/>
          <w:color w:val="000000"/>
          <w:sz w:val="24"/>
          <w:szCs w:val="24"/>
        </w:rPr>
      </w:pPr>
      <w:r w:rsidRPr="00095144">
        <w:rPr>
          <w:rFonts w:ascii="Times New Roman" w:hAnsi="Times New Roman"/>
          <w:color w:val="000000"/>
          <w:sz w:val="24"/>
          <w:szCs w:val="24"/>
        </w:rPr>
        <w:t>My name is Paul Hansen and I</w:t>
      </w:r>
      <w:r w:rsidR="00D164EF" w:rsidRPr="00095144">
        <w:rPr>
          <w:rFonts w:ascii="Times New Roman" w:hAnsi="Times New Roman"/>
          <w:color w:val="000000"/>
          <w:sz w:val="24"/>
          <w:szCs w:val="24"/>
        </w:rPr>
        <w:t xml:space="preserve"> am the </w:t>
      </w:r>
      <w:r w:rsidR="00FC4F1E">
        <w:rPr>
          <w:rFonts w:ascii="Times New Roman" w:hAnsi="Times New Roman"/>
          <w:color w:val="000000"/>
          <w:sz w:val="24"/>
          <w:szCs w:val="24"/>
        </w:rPr>
        <w:t>Deputy Administrator</w:t>
      </w:r>
      <w:r w:rsidR="00542575" w:rsidRPr="00095144">
        <w:rPr>
          <w:rFonts w:ascii="Times New Roman" w:hAnsi="Times New Roman"/>
          <w:color w:val="000000"/>
          <w:sz w:val="24"/>
          <w:szCs w:val="24"/>
        </w:rPr>
        <w:t xml:space="preserve"> </w:t>
      </w:r>
      <w:r w:rsidR="00D164EF" w:rsidRPr="00095144">
        <w:rPr>
          <w:rFonts w:ascii="Times New Roman" w:hAnsi="Times New Roman"/>
          <w:color w:val="000000"/>
          <w:sz w:val="24"/>
          <w:szCs w:val="24"/>
        </w:rPr>
        <w:t xml:space="preserve">for </w:t>
      </w:r>
      <w:r w:rsidRPr="00095144">
        <w:rPr>
          <w:rFonts w:ascii="Times New Roman" w:hAnsi="Times New Roman"/>
          <w:color w:val="000000"/>
          <w:sz w:val="24"/>
          <w:szCs w:val="24"/>
        </w:rPr>
        <w:t xml:space="preserve">the </w:t>
      </w:r>
      <w:proofErr w:type="spellStart"/>
      <w:r w:rsidRPr="00095144">
        <w:rPr>
          <w:rFonts w:ascii="Times New Roman" w:hAnsi="Times New Roman"/>
          <w:color w:val="000000"/>
          <w:sz w:val="24"/>
          <w:szCs w:val="24"/>
        </w:rPr>
        <w:t>Maniilaq</w:t>
      </w:r>
      <w:proofErr w:type="spellEnd"/>
      <w:r w:rsidR="00D164EF" w:rsidRPr="00095144">
        <w:rPr>
          <w:rFonts w:ascii="Times New Roman" w:hAnsi="Times New Roman"/>
          <w:color w:val="000000"/>
          <w:sz w:val="24"/>
          <w:szCs w:val="24"/>
        </w:rPr>
        <w:t xml:space="preserve"> </w:t>
      </w:r>
      <w:r w:rsidRPr="00095144">
        <w:rPr>
          <w:rFonts w:ascii="Times New Roman" w:hAnsi="Times New Roman"/>
          <w:color w:val="000000"/>
          <w:sz w:val="24"/>
          <w:szCs w:val="24"/>
        </w:rPr>
        <w:t>Health Center</w:t>
      </w:r>
      <w:r w:rsidR="00F07EB0" w:rsidRPr="00095144">
        <w:rPr>
          <w:rFonts w:ascii="Times New Roman" w:hAnsi="Times New Roman"/>
          <w:color w:val="000000"/>
          <w:sz w:val="24"/>
          <w:szCs w:val="24"/>
        </w:rPr>
        <w:t xml:space="preserve"> and I am</w:t>
      </w:r>
      <w:r w:rsidR="00D164EF" w:rsidRPr="00095144">
        <w:rPr>
          <w:rFonts w:ascii="Times New Roman" w:hAnsi="Times New Roman"/>
          <w:color w:val="000000"/>
          <w:sz w:val="24"/>
          <w:szCs w:val="24"/>
        </w:rPr>
        <w:t xml:space="preserve"> pleased to testify before this Committee on behalf of the </w:t>
      </w:r>
      <w:proofErr w:type="spellStart"/>
      <w:r w:rsidR="00D164EF" w:rsidRPr="00095144">
        <w:rPr>
          <w:rFonts w:ascii="Times New Roman" w:hAnsi="Times New Roman"/>
          <w:color w:val="000000"/>
          <w:sz w:val="24"/>
          <w:szCs w:val="24"/>
        </w:rPr>
        <w:t>Maniilaq</w:t>
      </w:r>
      <w:proofErr w:type="spellEnd"/>
      <w:r w:rsidR="00D164EF" w:rsidRPr="00095144">
        <w:rPr>
          <w:rFonts w:ascii="Times New Roman" w:hAnsi="Times New Roman"/>
          <w:color w:val="000000"/>
          <w:sz w:val="24"/>
          <w:szCs w:val="24"/>
        </w:rPr>
        <w:t xml:space="preserve"> Association</w:t>
      </w:r>
      <w:r w:rsidR="00542575" w:rsidRPr="00095144">
        <w:rPr>
          <w:rFonts w:ascii="Times New Roman" w:hAnsi="Times New Roman"/>
          <w:color w:val="000000"/>
          <w:sz w:val="24"/>
          <w:szCs w:val="24"/>
        </w:rPr>
        <w:t>.</w:t>
      </w:r>
      <w:r w:rsidR="00D164EF" w:rsidRPr="00095144">
        <w:rPr>
          <w:rFonts w:ascii="Times New Roman" w:hAnsi="Times New Roman"/>
          <w:color w:val="000000"/>
          <w:sz w:val="24"/>
          <w:szCs w:val="24"/>
        </w:rPr>
        <w:t xml:space="preserve"> </w:t>
      </w:r>
      <w:r w:rsidR="00095144" w:rsidRPr="00095144">
        <w:rPr>
          <w:rFonts w:ascii="Times New Roman" w:hAnsi="Times New Roman"/>
          <w:color w:val="000000"/>
          <w:sz w:val="24"/>
          <w:szCs w:val="24"/>
        </w:rPr>
        <w:t xml:space="preserve"> </w:t>
      </w:r>
      <w:r w:rsidR="00D164EF" w:rsidRPr="00095144">
        <w:rPr>
          <w:rFonts w:ascii="Times New Roman" w:hAnsi="Times New Roman"/>
          <w:color w:val="000000"/>
          <w:sz w:val="24"/>
          <w:szCs w:val="24"/>
        </w:rPr>
        <w:t>The</w:t>
      </w:r>
      <w:r w:rsidR="00F07EB0" w:rsidRPr="00095144">
        <w:rPr>
          <w:rFonts w:ascii="Times New Roman" w:hAnsi="Times New Roman"/>
          <w:color w:val="000000"/>
          <w:sz w:val="24"/>
          <w:szCs w:val="24"/>
        </w:rPr>
        <w:t xml:space="preserve"> </w:t>
      </w:r>
      <w:proofErr w:type="spellStart"/>
      <w:r w:rsidR="00F07EB0" w:rsidRPr="00095144">
        <w:rPr>
          <w:rFonts w:ascii="Times New Roman" w:hAnsi="Times New Roman"/>
          <w:color w:val="000000"/>
          <w:sz w:val="24"/>
          <w:szCs w:val="24"/>
        </w:rPr>
        <w:t>Maniilaq</w:t>
      </w:r>
      <w:proofErr w:type="spellEnd"/>
      <w:r w:rsidR="00F07EB0" w:rsidRPr="00095144">
        <w:rPr>
          <w:rFonts w:ascii="Times New Roman" w:hAnsi="Times New Roman"/>
          <w:color w:val="000000"/>
          <w:sz w:val="24"/>
          <w:szCs w:val="24"/>
        </w:rPr>
        <w:t xml:space="preserve"> </w:t>
      </w:r>
      <w:r w:rsidR="00D164EF" w:rsidRPr="00095144">
        <w:rPr>
          <w:rFonts w:ascii="Times New Roman" w:hAnsi="Times New Roman"/>
          <w:color w:val="000000"/>
          <w:sz w:val="24"/>
          <w:szCs w:val="24"/>
        </w:rPr>
        <w:t xml:space="preserve">Association is </w:t>
      </w:r>
      <w:r w:rsidR="00F07EB0" w:rsidRPr="00095144">
        <w:rPr>
          <w:rFonts w:ascii="Times New Roman" w:hAnsi="Times New Roman"/>
          <w:color w:val="000000"/>
          <w:sz w:val="24"/>
          <w:szCs w:val="24"/>
        </w:rPr>
        <w:t>an Alaska Native regional non-profit organization representing twelve tribes in Northwest Alaska.</w:t>
      </w:r>
      <w:r w:rsidR="005263FE" w:rsidRPr="00095144">
        <w:rPr>
          <w:rFonts w:ascii="Times New Roman" w:hAnsi="Times New Roman"/>
          <w:color w:val="000000"/>
          <w:sz w:val="24"/>
          <w:szCs w:val="24"/>
        </w:rPr>
        <w:t xml:space="preserve">  We strongly support</w:t>
      </w:r>
      <w:r w:rsidR="00F07EB0" w:rsidRPr="00095144">
        <w:rPr>
          <w:rFonts w:ascii="Times New Roman" w:hAnsi="Times New Roman"/>
          <w:color w:val="000000"/>
          <w:sz w:val="24"/>
          <w:szCs w:val="24"/>
        </w:rPr>
        <w:t xml:space="preserve"> </w:t>
      </w:r>
      <w:r w:rsidR="00D164EF" w:rsidRPr="00095144">
        <w:rPr>
          <w:rFonts w:ascii="Times New Roman" w:hAnsi="Times New Roman"/>
          <w:color w:val="000000"/>
          <w:sz w:val="24"/>
          <w:szCs w:val="24"/>
        </w:rPr>
        <w:t>S</w:t>
      </w:r>
      <w:r w:rsidR="00B15207" w:rsidRPr="00095144">
        <w:rPr>
          <w:rFonts w:ascii="Times New Roman" w:hAnsi="Times New Roman"/>
          <w:color w:val="000000"/>
          <w:sz w:val="24"/>
          <w:szCs w:val="24"/>
        </w:rPr>
        <w:t>.</w:t>
      </w:r>
      <w:r w:rsidR="00D164EF" w:rsidRPr="00095144">
        <w:rPr>
          <w:rFonts w:ascii="Times New Roman" w:hAnsi="Times New Roman"/>
          <w:color w:val="000000"/>
          <w:sz w:val="24"/>
          <w:szCs w:val="24"/>
        </w:rPr>
        <w:t xml:space="preserve"> 189</w:t>
      </w:r>
      <w:r w:rsidR="005263FE" w:rsidRPr="00095144">
        <w:rPr>
          <w:rFonts w:ascii="Times New Roman" w:hAnsi="Times New Roman"/>
          <w:color w:val="000000"/>
          <w:sz w:val="24"/>
          <w:szCs w:val="24"/>
        </w:rPr>
        <w:t>8,</w:t>
      </w:r>
      <w:r w:rsidR="00B15207" w:rsidRPr="00095144">
        <w:rPr>
          <w:rFonts w:ascii="Times New Roman" w:hAnsi="Times New Roman"/>
          <w:color w:val="000000"/>
          <w:sz w:val="24"/>
          <w:szCs w:val="24"/>
        </w:rPr>
        <w:t xml:space="preserve"> </w:t>
      </w:r>
      <w:r w:rsidR="005263FE" w:rsidRPr="00095144">
        <w:rPr>
          <w:rFonts w:ascii="Times New Roman" w:hAnsi="Times New Roman"/>
          <w:color w:val="000000"/>
          <w:sz w:val="24"/>
          <w:szCs w:val="24"/>
        </w:rPr>
        <w:t>legislation</w:t>
      </w:r>
      <w:r w:rsidR="004B4EB0" w:rsidRPr="00095144">
        <w:rPr>
          <w:rFonts w:ascii="Times New Roman" w:hAnsi="Times New Roman"/>
          <w:color w:val="000000"/>
          <w:sz w:val="24"/>
          <w:szCs w:val="24"/>
        </w:rPr>
        <w:t xml:space="preserve"> </w:t>
      </w:r>
      <w:r w:rsidR="00095144" w:rsidRPr="00095144">
        <w:rPr>
          <w:rFonts w:ascii="Times New Roman" w:hAnsi="Times New Roman"/>
          <w:color w:val="000000"/>
          <w:sz w:val="24"/>
          <w:szCs w:val="24"/>
        </w:rPr>
        <w:t xml:space="preserve">that </w:t>
      </w:r>
      <w:r w:rsidR="00D164EF" w:rsidRPr="00095144">
        <w:rPr>
          <w:rFonts w:ascii="Times New Roman" w:hAnsi="Times New Roman"/>
          <w:color w:val="000000"/>
          <w:sz w:val="24"/>
          <w:szCs w:val="24"/>
        </w:rPr>
        <w:t>would convey</w:t>
      </w:r>
      <w:r w:rsidR="00F07EB0" w:rsidRPr="00095144">
        <w:rPr>
          <w:rFonts w:ascii="Times New Roman" w:hAnsi="Times New Roman"/>
          <w:color w:val="000000"/>
          <w:sz w:val="24"/>
          <w:szCs w:val="24"/>
        </w:rPr>
        <w:t xml:space="preserve"> </w:t>
      </w:r>
      <w:r w:rsidR="005263FE" w:rsidRPr="00095144">
        <w:rPr>
          <w:rFonts w:ascii="Times New Roman" w:hAnsi="Times New Roman"/>
          <w:color w:val="000000"/>
          <w:sz w:val="24"/>
          <w:szCs w:val="24"/>
        </w:rPr>
        <w:t>cer</w:t>
      </w:r>
      <w:r w:rsidR="00F07EB0" w:rsidRPr="00095144">
        <w:rPr>
          <w:rFonts w:ascii="Times New Roman" w:hAnsi="Times New Roman"/>
          <w:color w:val="000000"/>
          <w:sz w:val="24"/>
          <w:szCs w:val="24"/>
        </w:rPr>
        <w:t>tain property from th</w:t>
      </w:r>
      <w:r w:rsidR="00542575" w:rsidRPr="00095144">
        <w:rPr>
          <w:rFonts w:ascii="Times New Roman" w:hAnsi="Times New Roman"/>
          <w:color w:val="000000"/>
          <w:sz w:val="24"/>
          <w:szCs w:val="24"/>
        </w:rPr>
        <w:t xml:space="preserve">e United States to the </w:t>
      </w:r>
      <w:proofErr w:type="spellStart"/>
      <w:r w:rsidR="00542575" w:rsidRPr="00095144">
        <w:rPr>
          <w:rFonts w:ascii="Times New Roman" w:hAnsi="Times New Roman"/>
          <w:color w:val="000000"/>
          <w:sz w:val="24"/>
          <w:szCs w:val="24"/>
        </w:rPr>
        <w:t>Maniilaq</w:t>
      </w:r>
      <w:proofErr w:type="spellEnd"/>
      <w:r w:rsidR="00542575" w:rsidRPr="00095144">
        <w:rPr>
          <w:rFonts w:ascii="Times New Roman" w:hAnsi="Times New Roman"/>
          <w:color w:val="000000"/>
          <w:sz w:val="24"/>
          <w:szCs w:val="24"/>
        </w:rPr>
        <w:t xml:space="preserve"> </w:t>
      </w:r>
      <w:r w:rsidR="00F07EB0" w:rsidRPr="00095144">
        <w:rPr>
          <w:rFonts w:ascii="Times New Roman" w:hAnsi="Times New Roman"/>
          <w:color w:val="000000"/>
          <w:sz w:val="24"/>
          <w:szCs w:val="24"/>
        </w:rPr>
        <w:t>Associat</w:t>
      </w:r>
      <w:r w:rsidR="005263FE" w:rsidRPr="00095144">
        <w:rPr>
          <w:rFonts w:ascii="Times New Roman" w:hAnsi="Times New Roman"/>
          <w:color w:val="000000"/>
          <w:sz w:val="24"/>
          <w:szCs w:val="24"/>
        </w:rPr>
        <w:t>ion located in Kotzebue</w:t>
      </w:r>
      <w:r w:rsidR="00B15207" w:rsidRPr="00095144">
        <w:rPr>
          <w:rFonts w:ascii="Times New Roman" w:hAnsi="Times New Roman"/>
          <w:color w:val="000000"/>
          <w:sz w:val="24"/>
          <w:szCs w:val="24"/>
        </w:rPr>
        <w:t xml:space="preserve">, Alaska.  We </w:t>
      </w:r>
      <w:r w:rsidR="005263FE" w:rsidRPr="00095144">
        <w:rPr>
          <w:rFonts w:ascii="Times New Roman" w:hAnsi="Times New Roman"/>
          <w:color w:val="000000"/>
          <w:sz w:val="24"/>
          <w:szCs w:val="24"/>
        </w:rPr>
        <w:t>thank the Alaska congressional delegation for introducing and moving this legislation.</w:t>
      </w:r>
    </w:p>
    <w:p w:rsidR="0022541F" w:rsidRPr="00095144" w:rsidRDefault="00F07EB0" w:rsidP="0020334C">
      <w:pPr>
        <w:spacing w:before="180" w:line="276" w:lineRule="auto"/>
        <w:ind w:firstLine="720"/>
        <w:rPr>
          <w:rFonts w:ascii="Times New Roman" w:hAnsi="Times New Roman"/>
          <w:color w:val="000000"/>
          <w:sz w:val="24"/>
          <w:szCs w:val="24"/>
        </w:rPr>
      </w:pPr>
      <w:r w:rsidRPr="00095144">
        <w:rPr>
          <w:rFonts w:ascii="Times New Roman" w:hAnsi="Times New Roman"/>
          <w:color w:val="000000"/>
          <w:sz w:val="24"/>
          <w:szCs w:val="24"/>
        </w:rPr>
        <w:t xml:space="preserve">The </w:t>
      </w:r>
      <w:proofErr w:type="spellStart"/>
      <w:r w:rsidRPr="00095144">
        <w:rPr>
          <w:rFonts w:ascii="Times New Roman" w:hAnsi="Times New Roman"/>
          <w:color w:val="000000"/>
          <w:sz w:val="24"/>
          <w:szCs w:val="24"/>
        </w:rPr>
        <w:t>Maniilaq</w:t>
      </w:r>
      <w:proofErr w:type="spellEnd"/>
      <w:r w:rsidRPr="00095144">
        <w:rPr>
          <w:rFonts w:ascii="Times New Roman" w:hAnsi="Times New Roman"/>
          <w:color w:val="000000"/>
          <w:sz w:val="24"/>
          <w:szCs w:val="24"/>
        </w:rPr>
        <w:t xml:space="preserve"> Association has for many years carried out a range of health and social services programs in the Northwest Arctic Borough on behalf of its member Alaska Native </w:t>
      </w:r>
      <w:proofErr w:type="gramStart"/>
      <w:r w:rsidRPr="00095144">
        <w:rPr>
          <w:rFonts w:ascii="Times New Roman" w:hAnsi="Times New Roman"/>
          <w:color w:val="000000"/>
          <w:sz w:val="24"/>
          <w:szCs w:val="24"/>
        </w:rPr>
        <w:t>villages</w:t>
      </w:r>
      <w:proofErr w:type="gramEnd"/>
      <w:r w:rsidRPr="00095144">
        <w:rPr>
          <w:rFonts w:ascii="Times New Roman" w:hAnsi="Times New Roman"/>
          <w:color w:val="000000"/>
          <w:sz w:val="24"/>
          <w:szCs w:val="24"/>
        </w:rPr>
        <w:t xml:space="preserve"> under the Self- Gov</w:t>
      </w:r>
      <w:r w:rsidR="0080714D" w:rsidRPr="00095144">
        <w:rPr>
          <w:rFonts w:ascii="Times New Roman" w:hAnsi="Times New Roman"/>
          <w:color w:val="000000"/>
          <w:sz w:val="24"/>
          <w:szCs w:val="24"/>
        </w:rPr>
        <w:t>ernance provisions of the Indian Self-Determination and Education Assistance Ac</w:t>
      </w:r>
      <w:r w:rsidR="009F3F77" w:rsidRPr="00095144">
        <w:rPr>
          <w:rFonts w:ascii="Times New Roman" w:hAnsi="Times New Roman"/>
          <w:color w:val="000000"/>
          <w:sz w:val="24"/>
          <w:szCs w:val="24"/>
        </w:rPr>
        <w:t>t (ISDEAA).</w:t>
      </w:r>
      <w:r w:rsidR="0080714D" w:rsidRPr="00095144">
        <w:rPr>
          <w:rFonts w:ascii="Times New Roman" w:hAnsi="Times New Roman"/>
          <w:color w:val="000000"/>
          <w:sz w:val="24"/>
          <w:szCs w:val="24"/>
        </w:rPr>
        <w:t xml:space="preserve">  </w:t>
      </w:r>
      <w:proofErr w:type="spellStart"/>
      <w:r w:rsidRPr="00095144">
        <w:rPr>
          <w:rFonts w:ascii="Times New Roman" w:hAnsi="Times New Roman"/>
          <w:color w:val="000000"/>
          <w:sz w:val="24"/>
          <w:szCs w:val="24"/>
        </w:rPr>
        <w:t>Maniilaq</w:t>
      </w:r>
      <w:proofErr w:type="spellEnd"/>
      <w:r w:rsidRPr="00095144">
        <w:rPr>
          <w:rFonts w:ascii="Times New Roman" w:hAnsi="Times New Roman"/>
          <w:color w:val="000000"/>
          <w:sz w:val="24"/>
          <w:szCs w:val="24"/>
        </w:rPr>
        <w:t xml:space="preserve"> Association carries out these programs in accordance with the Alaska Tribal Health Compact with the United States and Funding Agreements with the Indian Health Service.</w:t>
      </w:r>
    </w:p>
    <w:p w:rsidR="0022541F" w:rsidRPr="00095144" w:rsidRDefault="004B4EB0" w:rsidP="0020334C">
      <w:pPr>
        <w:spacing w:before="216" w:after="180" w:line="276" w:lineRule="auto"/>
        <w:ind w:right="216" w:firstLine="720"/>
        <w:rPr>
          <w:rFonts w:ascii="Times New Roman" w:hAnsi="Times New Roman"/>
          <w:color w:val="000000"/>
          <w:sz w:val="24"/>
          <w:szCs w:val="24"/>
        </w:rPr>
      </w:pPr>
      <w:r w:rsidRPr="00095144">
        <w:rPr>
          <w:rFonts w:ascii="Times New Roman" w:hAnsi="Times New Roman"/>
          <w:color w:val="000000"/>
          <w:sz w:val="24"/>
          <w:szCs w:val="24"/>
        </w:rPr>
        <w:t>As you know, the House h</w:t>
      </w:r>
      <w:r w:rsidR="00E25E26" w:rsidRPr="00095144">
        <w:rPr>
          <w:rFonts w:ascii="Times New Roman" w:hAnsi="Times New Roman"/>
          <w:color w:val="000000"/>
          <w:sz w:val="24"/>
          <w:szCs w:val="24"/>
        </w:rPr>
        <w:t>as passed companion legislation</w:t>
      </w:r>
      <w:r w:rsidRPr="00095144">
        <w:rPr>
          <w:rFonts w:ascii="Times New Roman" w:hAnsi="Times New Roman"/>
          <w:color w:val="000000"/>
          <w:sz w:val="24"/>
          <w:szCs w:val="24"/>
        </w:rPr>
        <w:t xml:space="preserve"> to S</w:t>
      </w:r>
      <w:r w:rsidR="00876853">
        <w:rPr>
          <w:rFonts w:ascii="Times New Roman" w:hAnsi="Times New Roman"/>
          <w:color w:val="000000"/>
          <w:sz w:val="24"/>
          <w:szCs w:val="24"/>
        </w:rPr>
        <w:t>.</w:t>
      </w:r>
      <w:r w:rsidRPr="00095144">
        <w:rPr>
          <w:rFonts w:ascii="Times New Roman" w:hAnsi="Times New Roman"/>
          <w:color w:val="000000"/>
          <w:sz w:val="24"/>
          <w:szCs w:val="24"/>
        </w:rPr>
        <w:t>1898</w:t>
      </w:r>
      <w:r w:rsidR="00CF076F" w:rsidRPr="00095144">
        <w:rPr>
          <w:rFonts w:ascii="Times New Roman" w:hAnsi="Times New Roman"/>
          <w:color w:val="000000"/>
          <w:sz w:val="24"/>
          <w:szCs w:val="24"/>
        </w:rPr>
        <w:t xml:space="preserve"> (</w:t>
      </w:r>
      <w:r w:rsidR="00F07EB0" w:rsidRPr="00095144">
        <w:rPr>
          <w:rFonts w:ascii="Times New Roman" w:hAnsi="Times New Roman"/>
          <w:color w:val="000000"/>
          <w:sz w:val="24"/>
          <w:szCs w:val="24"/>
        </w:rPr>
        <w:t>H. R. 443</w:t>
      </w:r>
      <w:r w:rsidR="00CF076F" w:rsidRPr="00095144">
        <w:rPr>
          <w:rFonts w:ascii="Times New Roman" w:hAnsi="Times New Roman"/>
          <w:color w:val="000000"/>
          <w:sz w:val="24"/>
          <w:szCs w:val="24"/>
        </w:rPr>
        <w:t xml:space="preserve"> introduced by Representative Don Young).</w:t>
      </w:r>
      <w:r w:rsidR="00E25E26" w:rsidRPr="00095144">
        <w:rPr>
          <w:rFonts w:ascii="Times New Roman" w:hAnsi="Times New Roman"/>
          <w:color w:val="000000"/>
          <w:sz w:val="24"/>
          <w:szCs w:val="24"/>
        </w:rPr>
        <w:t xml:space="preserve">  While the bills have some minor drafting differences they are substantively the same and w</w:t>
      </w:r>
      <w:r w:rsidR="0020334C" w:rsidRPr="00095144">
        <w:rPr>
          <w:rFonts w:ascii="Times New Roman" w:hAnsi="Times New Roman"/>
          <w:color w:val="000000"/>
          <w:sz w:val="24"/>
          <w:szCs w:val="24"/>
        </w:rPr>
        <w:t>ould accomplish the same things</w:t>
      </w:r>
      <w:r w:rsidR="0020334C" w:rsidRPr="00095144">
        <w:rPr>
          <w:rFonts w:ascii="Times New Roman" w:hAnsi="Times New Roman"/>
          <w:b/>
          <w:color w:val="000000"/>
          <w:sz w:val="24"/>
          <w:szCs w:val="24"/>
        </w:rPr>
        <w:t xml:space="preserve">.  </w:t>
      </w:r>
      <w:r w:rsidR="00542575" w:rsidRPr="00095144">
        <w:rPr>
          <w:rFonts w:ascii="Times New Roman" w:hAnsi="Times New Roman"/>
          <w:b/>
          <w:i/>
          <w:color w:val="000000"/>
          <w:sz w:val="24"/>
          <w:szCs w:val="24"/>
        </w:rPr>
        <w:t>I</w:t>
      </w:r>
      <w:r w:rsidR="0020334C" w:rsidRPr="00095144">
        <w:rPr>
          <w:rFonts w:ascii="Times New Roman" w:hAnsi="Times New Roman"/>
          <w:b/>
          <w:i/>
          <w:color w:val="000000"/>
          <w:sz w:val="24"/>
          <w:szCs w:val="24"/>
        </w:rPr>
        <w:t>n the interest of not having to have a conference on th</w:t>
      </w:r>
      <w:r w:rsidR="0080714D" w:rsidRPr="00095144">
        <w:rPr>
          <w:rFonts w:ascii="Times New Roman" w:hAnsi="Times New Roman"/>
          <w:b/>
          <w:i/>
          <w:color w:val="000000"/>
          <w:sz w:val="24"/>
          <w:szCs w:val="24"/>
        </w:rPr>
        <w:t>is legislation or the House being required</w:t>
      </w:r>
      <w:r w:rsidR="0020334C" w:rsidRPr="00095144">
        <w:rPr>
          <w:rFonts w:ascii="Times New Roman" w:hAnsi="Times New Roman"/>
          <w:b/>
          <w:i/>
          <w:color w:val="000000"/>
          <w:sz w:val="24"/>
          <w:szCs w:val="24"/>
        </w:rPr>
        <w:t xml:space="preserve"> to re-pass it, we re</w:t>
      </w:r>
      <w:r w:rsidR="00CC73EE" w:rsidRPr="00095144">
        <w:rPr>
          <w:rFonts w:ascii="Times New Roman" w:hAnsi="Times New Roman"/>
          <w:b/>
          <w:i/>
          <w:color w:val="000000"/>
          <w:sz w:val="24"/>
          <w:szCs w:val="24"/>
        </w:rPr>
        <w:t>commend that the Senate approve</w:t>
      </w:r>
      <w:r w:rsidR="0020334C" w:rsidRPr="00095144">
        <w:rPr>
          <w:rFonts w:ascii="Times New Roman" w:hAnsi="Times New Roman"/>
          <w:b/>
          <w:i/>
          <w:color w:val="000000"/>
          <w:sz w:val="24"/>
          <w:szCs w:val="24"/>
        </w:rPr>
        <w:t xml:space="preserve"> the House-passed bill</w:t>
      </w:r>
      <w:r w:rsidR="0020334C" w:rsidRPr="00095144">
        <w:rPr>
          <w:rFonts w:ascii="Times New Roman" w:hAnsi="Times New Roman"/>
          <w:b/>
          <w:color w:val="000000"/>
          <w:sz w:val="24"/>
          <w:szCs w:val="24"/>
        </w:rPr>
        <w:t>.</w:t>
      </w:r>
      <w:r w:rsidR="00E25E26" w:rsidRPr="00095144">
        <w:rPr>
          <w:rFonts w:ascii="Times New Roman" w:hAnsi="Times New Roman"/>
          <w:color w:val="000000"/>
          <w:sz w:val="24"/>
          <w:szCs w:val="24"/>
        </w:rPr>
        <w:t xml:space="preserve">  </w:t>
      </w:r>
      <w:r w:rsidR="0020334C" w:rsidRPr="00095144">
        <w:rPr>
          <w:rFonts w:ascii="Times New Roman" w:hAnsi="Times New Roman"/>
          <w:color w:val="000000"/>
          <w:sz w:val="24"/>
          <w:szCs w:val="24"/>
        </w:rPr>
        <w:t>We know there is little floor time left in this session</w:t>
      </w:r>
      <w:r w:rsidR="00011905" w:rsidRPr="00095144">
        <w:rPr>
          <w:rFonts w:ascii="Times New Roman" w:hAnsi="Times New Roman"/>
          <w:color w:val="000000"/>
          <w:sz w:val="24"/>
          <w:szCs w:val="24"/>
        </w:rPr>
        <w:t>,</w:t>
      </w:r>
      <w:r w:rsidR="00011905" w:rsidRPr="00095144">
        <w:rPr>
          <w:rFonts w:ascii="Times New Roman" w:hAnsi="Times New Roman"/>
          <w:i/>
          <w:color w:val="000000"/>
          <w:sz w:val="24"/>
          <w:szCs w:val="24"/>
        </w:rPr>
        <w:t xml:space="preserve"> </w:t>
      </w:r>
      <w:r w:rsidR="00011905" w:rsidRPr="00095144">
        <w:rPr>
          <w:rFonts w:ascii="Times New Roman" w:hAnsi="Times New Roman"/>
          <w:color w:val="000000"/>
          <w:sz w:val="24"/>
          <w:szCs w:val="24"/>
        </w:rPr>
        <w:t>and are concerned that requiring the House to act again would endanger enactment of this legislation.  The bills</w:t>
      </w:r>
      <w:r w:rsidR="00F07EB0" w:rsidRPr="00095144">
        <w:rPr>
          <w:rFonts w:ascii="Times New Roman" w:hAnsi="Times New Roman"/>
          <w:color w:val="000000"/>
          <w:sz w:val="24"/>
          <w:szCs w:val="24"/>
        </w:rPr>
        <w:t xml:space="preserve"> would require the Secretary of Health and Human Services to convey to the </w:t>
      </w:r>
      <w:proofErr w:type="spellStart"/>
      <w:r w:rsidR="00F07EB0" w:rsidRPr="00095144">
        <w:rPr>
          <w:rFonts w:ascii="Times New Roman" w:hAnsi="Times New Roman"/>
          <w:color w:val="000000"/>
          <w:sz w:val="24"/>
          <w:szCs w:val="24"/>
        </w:rPr>
        <w:t>Maniilaq</w:t>
      </w:r>
      <w:proofErr w:type="spellEnd"/>
      <w:r w:rsidR="00F07EB0" w:rsidRPr="00095144">
        <w:rPr>
          <w:rFonts w:ascii="Times New Roman" w:hAnsi="Times New Roman"/>
          <w:color w:val="000000"/>
          <w:sz w:val="24"/>
          <w:szCs w:val="24"/>
        </w:rPr>
        <w:t xml:space="preserve"> Association property located in Kotzebue, Alaska, for use in connection with these</w:t>
      </w:r>
      <w:r w:rsidR="00E25E26" w:rsidRPr="00095144">
        <w:rPr>
          <w:rFonts w:ascii="Times New Roman" w:hAnsi="Times New Roman"/>
          <w:color w:val="000000"/>
          <w:sz w:val="24"/>
          <w:szCs w:val="24"/>
        </w:rPr>
        <w:t xml:space="preserve"> health and social service</w:t>
      </w:r>
      <w:r w:rsidR="00F07EB0" w:rsidRPr="00095144">
        <w:rPr>
          <w:rFonts w:ascii="Times New Roman" w:hAnsi="Times New Roman"/>
          <w:color w:val="000000"/>
          <w:sz w:val="24"/>
          <w:szCs w:val="24"/>
        </w:rPr>
        <w:t xml:space="preserve"> programs. </w:t>
      </w:r>
      <w:r w:rsidR="00F00689" w:rsidRPr="00095144">
        <w:rPr>
          <w:rFonts w:ascii="Times New Roman" w:hAnsi="Times New Roman"/>
          <w:color w:val="000000"/>
          <w:sz w:val="24"/>
          <w:szCs w:val="24"/>
        </w:rPr>
        <w:t xml:space="preserve"> The property to be conveyed consists of three parcels of land including buildings and appurtenances on the land.</w:t>
      </w:r>
    </w:p>
    <w:p w:rsidR="0022541F" w:rsidRPr="00095144" w:rsidRDefault="00F07EB0" w:rsidP="0020334C">
      <w:pPr>
        <w:spacing w:line="276" w:lineRule="auto"/>
        <w:ind w:right="360" w:firstLine="720"/>
        <w:rPr>
          <w:rFonts w:ascii="Times New Roman" w:hAnsi="Times New Roman"/>
          <w:color w:val="000000"/>
          <w:sz w:val="24"/>
          <w:szCs w:val="24"/>
        </w:rPr>
      </w:pPr>
      <w:r w:rsidRPr="00095144">
        <w:rPr>
          <w:rFonts w:ascii="Times New Roman" w:hAnsi="Times New Roman"/>
          <w:color w:val="000000"/>
          <w:sz w:val="24"/>
          <w:szCs w:val="24"/>
        </w:rPr>
        <w:t xml:space="preserve">The first parcel is an 8.10 acre tract on which the </w:t>
      </w:r>
      <w:proofErr w:type="spellStart"/>
      <w:r w:rsidRPr="00095144">
        <w:rPr>
          <w:rFonts w:ascii="Times New Roman" w:hAnsi="Times New Roman"/>
          <w:color w:val="000000"/>
          <w:sz w:val="24"/>
          <w:szCs w:val="24"/>
        </w:rPr>
        <w:t>Maniilaq</w:t>
      </w:r>
      <w:proofErr w:type="spellEnd"/>
      <w:r w:rsidRPr="00095144">
        <w:rPr>
          <w:rFonts w:ascii="Times New Roman" w:hAnsi="Times New Roman"/>
          <w:color w:val="000000"/>
          <w:sz w:val="24"/>
          <w:szCs w:val="24"/>
        </w:rPr>
        <w:t xml:space="preserve"> Health Center is located and on which the </w:t>
      </w:r>
      <w:proofErr w:type="spellStart"/>
      <w:r w:rsidRPr="00095144">
        <w:rPr>
          <w:rFonts w:ascii="Times New Roman" w:hAnsi="Times New Roman"/>
          <w:color w:val="000000"/>
          <w:sz w:val="24"/>
          <w:szCs w:val="24"/>
        </w:rPr>
        <w:t>Maniilaq</w:t>
      </w:r>
      <w:proofErr w:type="spellEnd"/>
      <w:r w:rsidRPr="00095144">
        <w:rPr>
          <w:rFonts w:ascii="Times New Roman" w:hAnsi="Times New Roman"/>
          <w:color w:val="000000"/>
          <w:sz w:val="24"/>
          <w:szCs w:val="24"/>
        </w:rPr>
        <w:t xml:space="preserve"> Association recently completed the construction of a long term care facility adjacent to the Health Center. </w:t>
      </w:r>
      <w:r w:rsidR="00095144">
        <w:rPr>
          <w:rFonts w:ascii="Times New Roman" w:hAnsi="Times New Roman"/>
          <w:color w:val="000000"/>
          <w:sz w:val="24"/>
          <w:szCs w:val="24"/>
        </w:rPr>
        <w:t xml:space="preserve"> </w:t>
      </w:r>
      <w:r w:rsidRPr="00095144">
        <w:rPr>
          <w:rFonts w:ascii="Times New Roman" w:hAnsi="Times New Roman"/>
          <w:color w:val="000000"/>
          <w:sz w:val="24"/>
          <w:szCs w:val="24"/>
        </w:rPr>
        <w:t xml:space="preserve">Completion of this project has been a long term goal of </w:t>
      </w:r>
      <w:proofErr w:type="spellStart"/>
      <w:r w:rsidRPr="00095144">
        <w:rPr>
          <w:rFonts w:ascii="Times New Roman" w:hAnsi="Times New Roman"/>
          <w:color w:val="000000"/>
          <w:sz w:val="24"/>
          <w:szCs w:val="24"/>
        </w:rPr>
        <w:t>Maniilaq</w:t>
      </w:r>
      <w:proofErr w:type="spellEnd"/>
      <w:r w:rsidRPr="00095144">
        <w:rPr>
          <w:rFonts w:ascii="Times New Roman" w:hAnsi="Times New Roman"/>
          <w:color w:val="000000"/>
          <w:sz w:val="24"/>
          <w:szCs w:val="24"/>
        </w:rPr>
        <w:t xml:space="preserve"> Association and was the product of many years of work. </w:t>
      </w:r>
      <w:r w:rsidR="00095144">
        <w:rPr>
          <w:rFonts w:ascii="Times New Roman" w:hAnsi="Times New Roman"/>
          <w:color w:val="000000"/>
          <w:sz w:val="24"/>
          <w:szCs w:val="24"/>
        </w:rPr>
        <w:t xml:space="preserve"> </w:t>
      </w:r>
      <w:r w:rsidRPr="00095144">
        <w:rPr>
          <w:rFonts w:ascii="Times New Roman" w:hAnsi="Times New Roman"/>
          <w:color w:val="000000"/>
          <w:sz w:val="24"/>
          <w:szCs w:val="24"/>
        </w:rPr>
        <w:t xml:space="preserve">In connection with this project </w:t>
      </w:r>
      <w:proofErr w:type="spellStart"/>
      <w:r w:rsidRPr="00095144">
        <w:rPr>
          <w:rFonts w:ascii="Times New Roman" w:hAnsi="Times New Roman"/>
          <w:color w:val="000000"/>
          <w:sz w:val="24"/>
          <w:szCs w:val="24"/>
        </w:rPr>
        <w:t>Maniilaq</w:t>
      </w:r>
      <w:proofErr w:type="spellEnd"/>
      <w:r w:rsidRPr="00095144">
        <w:rPr>
          <w:rFonts w:ascii="Times New Roman" w:hAnsi="Times New Roman"/>
          <w:color w:val="000000"/>
          <w:sz w:val="24"/>
          <w:szCs w:val="24"/>
        </w:rPr>
        <w:t xml:space="preserve"> Association unsuccessfully sought authorization from Indian Health </w:t>
      </w:r>
      <w:r w:rsidRPr="00095144">
        <w:rPr>
          <w:rFonts w:ascii="Times New Roman" w:hAnsi="Times New Roman"/>
          <w:color w:val="000000"/>
          <w:sz w:val="24"/>
          <w:szCs w:val="24"/>
        </w:rPr>
        <w:lastRenderedPageBreak/>
        <w:t>Service to build the long term care facility as an addition to the Health Center which was owned by the Indian Health Service.</w:t>
      </w:r>
      <w:r w:rsidR="00095144">
        <w:rPr>
          <w:rFonts w:ascii="Times New Roman" w:hAnsi="Times New Roman"/>
          <w:color w:val="000000"/>
          <w:sz w:val="24"/>
          <w:szCs w:val="24"/>
        </w:rPr>
        <w:t xml:space="preserve"> </w:t>
      </w:r>
      <w:r w:rsidRPr="00095144">
        <w:rPr>
          <w:rFonts w:ascii="Times New Roman" w:hAnsi="Times New Roman"/>
          <w:color w:val="000000"/>
          <w:sz w:val="24"/>
          <w:szCs w:val="24"/>
        </w:rPr>
        <w:t xml:space="preserve"> Finally, after several years of discussion, </w:t>
      </w:r>
      <w:proofErr w:type="spellStart"/>
      <w:r w:rsidRPr="00095144">
        <w:rPr>
          <w:rFonts w:ascii="Times New Roman" w:hAnsi="Times New Roman"/>
          <w:color w:val="000000"/>
          <w:sz w:val="24"/>
          <w:szCs w:val="24"/>
        </w:rPr>
        <w:t>Maniilaq</w:t>
      </w:r>
      <w:proofErr w:type="spellEnd"/>
      <w:r w:rsidRPr="00095144">
        <w:rPr>
          <w:rFonts w:ascii="Times New Roman" w:hAnsi="Times New Roman"/>
          <w:color w:val="000000"/>
          <w:sz w:val="24"/>
          <w:szCs w:val="24"/>
        </w:rPr>
        <w:t xml:space="preserve"> Association realized that to keep the project moving it had no option but to agree with the Indian Health Service’s suggestion that it accept title to the property. </w:t>
      </w:r>
      <w:r w:rsidR="00095144">
        <w:rPr>
          <w:rFonts w:ascii="Times New Roman" w:hAnsi="Times New Roman"/>
          <w:color w:val="000000"/>
          <w:sz w:val="24"/>
          <w:szCs w:val="24"/>
        </w:rPr>
        <w:t xml:space="preserve"> </w:t>
      </w:r>
      <w:r w:rsidRPr="00095144">
        <w:rPr>
          <w:rFonts w:ascii="Times New Roman" w:hAnsi="Times New Roman"/>
          <w:color w:val="000000"/>
          <w:sz w:val="24"/>
          <w:szCs w:val="24"/>
        </w:rPr>
        <w:t xml:space="preserve">The parcel was transferred by the Indian Health Service to the </w:t>
      </w:r>
      <w:proofErr w:type="spellStart"/>
      <w:r w:rsidRPr="00095144">
        <w:rPr>
          <w:rFonts w:ascii="Times New Roman" w:hAnsi="Times New Roman"/>
          <w:color w:val="000000"/>
          <w:sz w:val="24"/>
          <w:szCs w:val="24"/>
        </w:rPr>
        <w:t>Maniilaq</w:t>
      </w:r>
      <w:proofErr w:type="spellEnd"/>
      <w:r w:rsidRPr="00095144">
        <w:rPr>
          <w:rFonts w:ascii="Times New Roman" w:hAnsi="Times New Roman"/>
          <w:color w:val="000000"/>
          <w:sz w:val="24"/>
          <w:szCs w:val="24"/>
        </w:rPr>
        <w:t xml:space="preserve"> Association through a Quitclaim Deed issued by the Indian Health Service to the </w:t>
      </w:r>
      <w:proofErr w:type="spellStart"/>
      <w:r w:rsidRPr="00095144">
        <w:rPr>
          <w:rFonts w:ascii="Times New Roman" w:hAnsi="Times New Roman"/>
          <w:color w:val="000000"/>
          <w:sz w:val="24"/>
          <w:szCs w:val="24"/>
        </w:rPr>
        <w:t>Maniilaq</w:t>
      </w:r>
      <w:proofErr w:type="spellEnd"/>
      <w:r w:rsidRPr="00095144">
        <w:rPr>
          <w:rFonts w:ascii="Times New Roman" w:hAnsi="Times New Roman"/>
          <w:color w:val="000000"/>
          <w:sz w:val="24"/>
          <w:szCs w:val="24"/>
        </w:rPr>
        <w:t xml:space="preserve"> Association on March 31, 2009. </w:t>
      </w:r>
      <w:r w:rsidR="00095144">
        <w:rPr>
          <w:rFonts w:ascii="Times New Roman" w:hAnsi="Times New Roman"/>
          <w:color w:val="000000"/>
          <w:sz w:val="24"/>
          <w:szCs w:val="24"/>
        </w:rPr>
        <w:t xml:space="preserve"> </w:t>
      </w:r>
      <w:r w:rsidRPr="00095144">
        <w:rPr>
          <w:rFonts w:ascii="Times New Roman" w:hAnsi="Times New Roman"/>
          <w:color w:val="000000"/>
          <w:sz w:val="24"/>
          <w:szCs w:val="24"/>
        </w:rPr>
        <w:t xml:space="preserve">Final construction of the 18 bed facility was completed </w:t>
      </w:r>
      <w:r w:rsidR="00FC4F1E">
        <w:rPr>
          <w:rFonts w:ascii="Times New Roman" w:hAnsi="Times New Roman"/>
          <w:color w:val="000000"/>
          <w:sz w:val="24"/>
          <w:szCs w:val="24"/>
        </w:rPr>
        <w:t>last</w:t>
      </w:r>
      <w:r w:rsidRPr="00095144">
        <w:rPr>
          <w:rFonts w:ascii="Times New Roman" w:hAnsi="Times New Roman"/>
          <w:color w:val="000000"/>
          <w:sz w:val="24"/>
          <w:szCs w:val="24"/>
        </w:rPr>
        <w:t xml:space="preserve"> year</w:t>
      </w:r>
      <w:r w:rsidR="003A3221">
        <w:rPr>
          <w:rFonts w:ascii="Times New Roman" w:hAnsi="Times New Roman"/>
          <w:color w:val="000000"/>
          <w:sz w:val="24"/>
          <w:szCs w:val="24"/>
        </w:rPr>
        <w:t xml:space="preserve">. </w:t>
      </w:r>
      <w:r w:rsidRPr="00095144">
        <w:rPr>
          <w:rFonts w:ascii="Times New Roman" w:hAnsi="Times New Roman"/>
          <w:color w:val="000000"/>
          <w:sz w:val="24"/>
          <w:szCs w:val="24"/>
        </w:rPr>
        <w:t>The facility</w:t>
      </w:r>
      <w:r w:rsidR="003A3221">
        <w:rPr>
          <w:rFonts w:ascii="Times New Roman" w:hAnsi="Times New Roman"/>
          <w:color w:val="000000"/>
          <w:sz w:val="24"/>
          <w:szCs w:val="24"/>
        </w:rPr>
        <w:t xml:space="preserve"> was dedicated in October, 2011 and </w:t>
      </w:r>
      <w:r w:rsidR="008F20ED">
        <w:rPr>
          <w:rFonts w:ascii="Times New Roman" w:hAnsi="Times New Roman"/>
          <w:color w:val="000000"/>
          <w:sz w:val="24"/>
          <w:szCs w:val="24"/>
        </w:rPr>
        <w:t>it</w:t>
      </w:r>
      <w:r w:rsidR="008F20ED" w:rsidRPr="00095144">
        <w:rPr>
          <w:rFonts w:ascii="Times New Roman" w:hAnsi="Times New Roman"/>
          <w:color w:val="000000"/>
          <w:sz w:val="24"/>
          <w:szCs w:val="24"/>
        </w:rPr>
        <w:t>s</w:t>
      </w:r>
      <w:r w:rsidRPr="00095144">
        <w:rPr>
          <w:rFonts w:ascii="Times New Roman" w:hAnsi="Times New Roman"/>
          <w:color w:val="000000"/>
          <w:sz w:val="24"/>
          <w:szCs w:val="24"/>
        </w:rPr>
        <w:t xml:space="preserve"> first residents </w:t>
      </w:r>
      <w:r w:rsidR="003A3221">
        <w:rPr>
          <w:rFonts w:ascii="Times New Roman" w:hAnsi="Times New Roman"/>
          <w:color w:val="000000"/>
          <w:sz w:val="24"/>
          <w:szCs w:val="24"/>
        </w:rPr>
        <w:t>moved in that same month</w:t>
      </w:r>
      <w:r w:rsidRPr="00095144">
        <w:rPr>
          <w:rFonts w:ascii="Times New Roman" w:hAnsi="Times New Roman"/>
          <w:color w:val="000000"/>
          <w:sz w:val="24"/>
          <w:szCs w:val="24"/>
        </w:rPr>
        <w:t>.</w:t>
      </w:r>
    </w:p>
    <w:p w:rsidR="0022541F" w:rsidRPr="00095144" w:rsidRDefault="00F07EB0" w:rsidP="0020334C">
      <w:pPr>
        <w:spacing w:before="216" w:line="276" w:lineRule="auto"/>
        <w:ind w:right="216" w:firstLine="720"/>
        <w:rPr>
          <w:rFonts w:ascii="Times New Roman" w:hAnsi="Times New Roman"/>
          <w:color w:val="000000"/>
          <w:sz w:val="24"/>
          <w:szCs w:val="24"/>
        </w:rPr>
      </w:pPr>
      <w:r w:rsidRPr="00095144">
        <w:rPr>
          <w:rFonts w:ascii="Times New Roman" w:hAnsi="Times New Roman"/>
          <w:color w:val="000000"/>
          <w:sz w:val="24"/>
          <w:szCs w:val="24"/>
        </w:rPr>
        <w:t xml:space="preserve">The second and third parcels described in </w:t>
      </w:r>
      <w:r w:rsidR="00F00689" w:rsidRPr="00095144">
        <w:rPr>
          <w:rFonts w:ascii="Times New Roman" w:hAnsi="Times New Roman"/>
          <w:color w:val="000000"/>
          <w:sz w:val="24"/>
          <w:szCs w:val="24"/>
        </w:rPr>
        <w:t>S</w:t>
      </w:r>
      <w:r w:rsidR="00876853">
        <w:rPr>
          <w:rFonts w:ascii="Times New Roman" w:hAnsi="Times New Roman"/>
          <w:color w:val="000000"/>
          <w:sz w:val="24"/>
          <w:szCs w:val="24"/>
        </w:rPr>
        <w:t>.</w:t>
      </w:r>
      <w:r w:rsidR="00F00689" w:rsidRPr="00095144">
        <w:rPr>
          <w:rFonts w:ascii="Times New Roman" w:hAnsi="Times New Roman"/>
          <w:color w:val="000000"/>
          <w:sz w:val="24"/>
          <w:szCs w:val="24"/>
        </w:rPr>
        <w:t xml:space="preserve"> 1898/</w:t>
      </w:r>
      <w:r w:rsidRPr="00095144">
        <w:rPr>
          <w:rFonts w:ascii="Times New Roman" w:hAnsi="Times New Roman"/>
          <w:color w:val="000000"/>
          <w:sz w:val="24"/>
          <w:szCs w:val="24"/>
        </w:rPr>
        <w:t>H.R. 443 are land on which housing for employees of the Health Center and long term care facility is located.</w:t>
      </w:r>
      <w:r w:rsidR="00095144">
        <w:rPr>
          <w:rFonts w:ascii="Times New Roman" w:hAnsi="Times New Roman"/>
          <w:color w:val="000000"/>
          <w:sz w:val="24"/>
          <w:szCs w:val="24"/>
        </w:rPr>
        <w:t xml:space="preserve"> </w:t>
      </w:r>
      <w:r w:rsidRPr="00095144">
        <w:rPr>
          <w:rFonts w:ascii="Times New Roman" w:hAnsi="Times New Roman"/>
          <w:color w:val="000000"/>
          <w:sz w:val="24"/>
          <w:szCs w:val="24"/>
        </w:rPr>
        <w:t xml:space="preserve"> The Indian Health Service transferred these parcels to </w:t>
      </w:r>
      <w:proofErr w:type="spellStart"/>
      <w:r w:rsidRPr="00095144">
        <w:rPr>
          <w:rFonts w:ascii="Times New Roman" w:hAnsi="Times New Roman"/>
          <w:color w:val="000000"/>
          <w:sz w:val="24"/>
          <w:szCs w:val="24"/>
        </w:rPr>
        <w:t>Maniilaq</w:t>
      </w:r>
      <w:proofErr w:type="spellEnd"/>
      <w:r w:rsidR="00542575" w:rsidRPr="00095144">
        <w:rPr>
          <w:rFonts w:ascii="Times New Roman" w:hAnsi="Times New Roman"/>
          <w:color w:val="000000"/>
          <w:sz w:val="24"/>
          <w:szCs w:val="24"/>
        </w:rPr>
        <w:t xml:space="preserve"> Association approximately six months after the first parcel was transferred</w:t>
      </w:r>
      <w:r w:rsidRPr="00095144">
        <w:rPr>
          <w:rFonts w:ascii="Times New Roman" w:hAnsi="Times New Roman"/>
          <w:color w:val="000000"/>
          <w:sz w:val="24"/>
          <w:szCs w:val="24"/>
        </w:rPr>
        <w:t>.</w:t>
      </w:r>
    </w:p>
    <w:p w:rsidR="0022541F" w:rsidRPr="00095144" w:rsidRDefault="00F07EB0" w:rsidP="000A4F67">
      <w:pPr>
        <w:spacing w:before="216" w:line="276" w:lineRule="auto"/>
        <w:ind w:firstLine="720"/>
        <w:rPr>
          <w:rFonts w:ascii="Times New Roman" w:hAnsi="Times New Roman"/>
          <w:color w:val="000000"/>
          <w:sz w:val="24"/>
          <w:szCs w:val="24"/>
        </w:rPr>
      </w:pPr>
      <w:r w:rsidRPr="00095144">
        <w:rPr>
          <w:rFonts w:ascii="Times New Roman" w:hAnsi="Times New Roman"/>
          <w:color w:val="000000"/>
          <w:sz w:val="24"/>
          <w:szCs w:val="24"/>
        </w:rPr>
        <w:t xml:space="preserve">The conveyance required by </w:t>
      </w:r>
      <w:r w:rsidR="00F00689" w:rsidRPr="00095144">
        <w:rPr>
          <w:rFonts w:ascii="Times New Roman" w:hAnsi="Times New Roman"/>
          <w:color w:val="000000"/>
          <w:sz w:val="24"/>
          <w:szCs w:val="24"/>
        </w:rPr>
        <w:t>S. 1898/</w:t>
      </w:r>
      <w:r w:rsidRPr="00095144">
        <w:rPr>
          <w:rFonts w:ascii="Times New Roman" w:hAnsi="Times New Roman"/>
          <w:color w:val="000000"/>
          <w:sz w:val="24"/>
          <w:szCs w:val="24"/>
        </w:rPr>
        <w:t xml:space="preserve">H. R. 443 will be through a warranty deed without consideration and without imposing any obligation, term, or condition on the </w:t>
      </w:r>
      <w:proofErr w:type="spellStart"/>
      <w:r w:rsidRPr="00095144">
        <w:rPr>
          <w:rFonts w:ascii="Times New Roman" w:hAnsi="Times New Roman"/>
          <w:color w:val="000000"/>
          <w:sz w:val="24"/>
          <w:szCs w:val="24"/>
        </w:rPr>
        <w:t>Maniilaq</w:t>
      </w:r>
      <w:proofErr w:type="spellEnd"/>
      <w:r w:rsidRPr="00095144">
        <w:rPr>
          <w:rFonts w:ascii="Times New Roman" w:hAnsi="Times New Roman"/>
          <w:color w:val="000000"/>
          <w:sz w:val="24"/>
          <w:szCs w:val="24"/>
        </w:rPr>
        <w:t xml:space="preserve"> Association, or reversionary interest in the United States, other than required by </w:t>
      </w:r>
      <w:r w:rsidR="00F00689" w:rsidRPr="00095144">
        <w:rPr>
          <w:rFonts w:ascii="Times New Roman" w:hAnsi="Times New Roman"/>
          <w:color w:val="000000"/>
          <w:sz w:val="24"/>
          <w:szCs w:val="24"/>
        </w:rPr>
        <w:t>S. 1898/</w:t>
      </w:r>
      <w:r w:rsidRPr="00095144">
        <w:rPr>
          <w:rFonts w:ascii="Times New Roman" w:hAnsi="Times New Roman"/>
          <w:color w:val="000000"/>
          <w:sz w:val="24"/>
          <w:szCs w:val="24"/>
        </w:rPr>
        <w:t xml:space="preserve">H. R. 443 itself or by section 51 2(c)(2)(B) of the ISDEAA. This makes the conveyance required by </w:t>
      </w:r>
      <w:r w:rsidR="000A4F67" w:rsidRPr="00095144">
        <w:rPr>
          <w:rFonts w:ascii="Times New Roman" w:hAnsi="Times New Roman"/>
          <w:color w:val="000000"/>
          <w:sz w:val="24"/>
          <w:szCs w:val="24"/>
        </w:rPr>
        <w:t xml:space="preserve">  </w:t>
      </w:r>
      <w:r w:rsidR="00F00689" w:rsidRPr="00095144">
        <w:rPr>
          <w:rFonts w:ascii="Times New Roman" w:hAnsi="Times New Roman"/>
          <w:color w:val="000000"/>
          <w:sz w:val="24"/>
          <w:szCs w:val="24"/>
        </w:rPr>
        <w:t>S. 1898/</w:t>
      </w:r>
      <w:r w:rsidRPr="00095144">
        <w:rPr>
          <w:rFonts w:ascii="Times New Roman" w:hAnsi="Times New Roman"/>
          <w:color w:val="000000"/>
          <w:sz w:val="24"/>
          <w:szCs w:val="24"/>
        </w:rPr>
        <w:t xml:space="preserve">H. R. 443 consistent with the ISDEAA, which allows reversion of title back to the United States, at the option of the Secretary, only upon retrocession or withdrawal by the </w:t>
      </w:r>
      <w:proofErr w:type="spellStart"/>
      <w:r w:rsidRPr="00095144">
        <w:rPr>
          <w:rFonts w:ascii="Times New Roman" w:hAnsi="Times New Roman"/>
          <w:color w:val="000000"/>
          <w:sz w:val="24"/>
          <w:szCs w:val="24"/>
        </w:rPr>
        <w:t>Maniilaq</w:t>
      </w:r>
      <w:proofErr w:type="spellEnd"/>
      <w:r w:rsidRPr="00095144">
        <w:rPr>
          <w:rFonts w:ascii="Times New Roman" w:hAnsi="Times New Roman"/>
          <w:color w:val="000000"/>
          <w:sz w:val="24"/>
          <w:szCs w:val="24"/>
        </w:rPr>
        <w:t xml:space="preserve"> Association from the Alaska Tribal Health Compact or re-assumption of the compacted programs by the Indian Health Service.</w:t>
      </w:r>
    </w:p>
    <w:p w:rsidR="0022541F" w:rsidRPr="00095144" w:rsidRDefault="00F07EB0" w:rsidP="0020334C">
      <w:pPr>
        <w:spacing w:before="180" w:line="276" w:lineRule="auto"/>
        <w:ind w:right="144" w:firstLine="720"/>
        <w:rPr>
          <w:rFonts w:ascii="Times New Roman" w:hAnsi="Times New Roman"/>
          <w:color w:val="000000"/>
          <w:sz w:val="24"/>
          <w:szCs w:val="24"/>
        </w:rPr>
      </w:pPr>
      <w:r w:rsidRPr="00095144">
        <w:rPr>
          <w:rFonts w:ascii="Times New Roman" w:hAnsi="Times New Roman"/>
          <w:color w:val="000000"/>
          <w:sz w:val="24"/>
          <w:szCs w:val="24"/>
        </w:rPr>
        <w:t xml:space="preserve">The warranty deed required by </w:t>
      </w:r>
      <w:r w:rsidR="00F00689" w:rsidRPr="00095144">
        <w:rPr>
          <w:rFonts w:ascii="Times New Roman" w:hAnsi="Times New Roman"/>
          <w:color w:val="000000"/>
          <w:sz w:val="24"/>
          <w:szCs w:val="24"/>
        </w:rPr>
        <w:t>S. 1898/</w:t>
      </w:r>
      <w:r w:rsidRPr="00095144">
        <w:rPr>
          <w:rFonts w:ascii="Times New Roman" w:hAnsi="Times New Roman"/>
          <w:color w:val="000000"/>
          <w:sz w:val="24"/>
          <w:szCs w:val="24"/>
        </w:rPr>
        <w:t xml:space="preserve">H. R. 443 will supersede the Quitclaim Deed issued by the Secretary to the </w:t>
      </w:r>
      <w:proofErr w:type="spellStart"/>
      <w:r w:rsidRPr="00095144">
        <w:rPr>
          <w:rFonts w:ascii="Times New Roman" w:hAnsi="Times New Roman"/>
          <w:color w:val="000000"/>
          <w:sz w:val="24"/>
          <w:szCs w:val="24"/>
        </w:rPr>
        <w:t>Maniilaq</w:t>
      </w:r>
      <w:proofErr w:type="spellEnd"/>
      <w:r w:rsidRPr="00095144">
        <w:rPr>
          <w:rFonts w:ascii="Times New Roman" w:hAnsi="Times New Roman"/>
          <w:color w:val="000000"/>
          <w:sz w:val="24"/>
          <w:szCs w:val="24"/>
        </w:rPr>
        <w:t xml:space="preserve"> Association on March 31, 2009. </w:t>
      </w:r>
      <w:r w:rsidR="00095144">
        <w:rPr>
          <w:rFonts w:ascii="Times New Roman" w:hAnsi="Times New Roman"/>
          <w:color w:val="000000"/>
          <w:sz w:val="24"/>
          <w:szCs w:val="24"/>
        </w:rPr>
        <w:t xml:space="preserve"> </w:t>
      </w:r>
      <w:r w:rsidRPr="00095144">
        <w:rPr>
          <w:rFonts w:ascii="Times New Roman" w:hAnsi="Times New Roman"/>
          <w:color w:val="000000"/>
          <w:sz w:val="24"/>
          <w:szCs w:val="24"/>
        </w:rPr>
        <w:t xml:space="preserve">The quitclaim deed includes provisions for Indian Health Service control of the </w:t>
      </w:r>
      <w:proofErr w:type="spellStart"/>
      <w:r w:rsidRPr="00095144">
        <w:rPr>
          <w:rFonts w:ascii="Times New Roman" w:hAnsi="Times New Roman"/>
          <w:color w:val="000000"/>
          <w:sz w:val="24"/>
          <w:szCs w:val="24"/>
        </w:rPr>
        <w:t>Maniilaq</w:t>
      </w:r>
      <w:proofErr w:type="spellEnd"/>
      <w:r w:rsidRPr="00095144">
        <w:rPr>
          <w:rFonts w:ascii="Times New Roman" w:hAnsi="Times New Roman"/>
          <w:color w:val="000000"/>
          <w:sz w:val="24"/>
          <w:szCs w:val="24"/>
        </w:rPr>
        <w:t xml:space="preserve"> Association’s use of the property which are inconsistent with conveyance of title under the ISDEAA. </w:t>
      </w:r>
      <w:r w:rsidR="00095144">
        <w:rPr>
          <w:rFonts w:ascii="Times New Roman" w:hAnsi="Times New Roman"/>
          <w:color w:val="000000"/>
          <w:sz w:val="24"/>
          <w:szCs w:val="24"/>
        </w:rPr>
        <w:t xml:space="preserve"> </w:t>
      </w:r>
      <w:r w:rsidRPr="00095144">
        <w:rPr>
          <w:rFonts w:ascii="Times New Roman" w:hAnsi="Times New Roman"/>
          <w:color w:val="000000"/>
          <w:sz w:val="24"/>
          <w:szCs w:val="24"/>
        </w:rPr>
        <w:t>For example, the quitclaim deed requires Indian Health Service approval for any mortgage or encumbrance of the property as security for construction or other loans for improvements on the property.</w:t>
      </w:r>
      <w:r w:rsidR="00095144">
        <w:rPr>
          <w:rFonts w:ascii="Times New Roman" w:hAnsi="Times New Roman"/>
          <w:color w:val="000000"/>
          <w:sz w:val="24"/>
          <w:szCs w:val="24"/>
        </w:rPr>
        <w:t xml:space="preserve"> </w:t>
      </w:r>
      <w:r w:rsidRPr="00095144">
        <w:rPr>
          <w:rFonts w:ascii="Times New Roman" w:hAnsi="Times New Roman"/>
          <w:color w:val="000000"/>
          <w:sz w:val="24"/>
          <w:szCs w:val="24"/>
        </w:rPr>
        <w:t xml:space="preserve"> Indian Health Service approval is also required for any contract which would impact the value of the property.</w:t>
      </w:r>
      <w:r w:rsidR="00095144">
        <w:rPr>
          <w:rFonts w:ascii="Times New Roman" w:hAnsi="Times New Roman"/>
          <w:color w:val="000000"/>
          <w:sz w:val="24"/>
          <w:szCs w:val="24"/>
        </w:rPr>
        <w:t xml:space="preserve"> </w:t>
      </w:r>
      <w:r w:rsidRPr="00095144">
        <w:rPr>
          <w:rFonts w:ascii="Times New Roman" w:hAnsi="Times New Roman"/>
          <w:color w:val="000000"/>
          <w:sz w:val="24"/>
          <w:szCs w:val="24"/>
        </w:rPr>
        <w:t xml:space="preserve"> This gives the Indian Health Service continuing control over the </w:t>
      </w:r>
      <w:proofErr w:type="spellStart"/>
      <w:r w:rsidRPr="00095144">
        <w:rPr>
          <w:rFonts w:ascii="Times New Roman" w:hAnsi="Times New Roman"/>
          <w:color w:val="000000"/>
          <w:sz w:val="24"/>
          <w:szCs w:val="24"/>
        </w:rPr>
        <w:t>Maniilaq</w:t>
      </w:r>
      <w:proofErr w:type="spellEnd"/>
      <w:r w:rsidRPr="00095144">
        <w:rPr>
          <w:rFonts w:ascii="Times New Roman" w:hAnsi="Times New Roman"/>
          <w:color w:val="000000"/>
          <w:sz w:val="24"/>
          <w:szCs w:val="24"/>
        </w:rPr>
        <w:t xml:space="preserve"> Association’s use of the property. </w:t>
      </w:r>
      <w:r w:rsidR="00095144">
        <w:rPr>
          <w:rFonts w:ascii="Times New Roman" w:hAnsi="Times New Roman"/>
          <w:color w:val="000000"/>
          <w:sz w:val="24"/>
          <w:szCs w:val="24"/>
        </w:rPr>
        <w:t xml:space="preserve"> </w:t>
      </w:r>
      <w:r w:rsidRPr="00095144">
        <w:rPr>
          <w:rFonts w:ascii="Times New Roman" w:hAnsi="Times New Roman"/>
          <w:color w:val="000000"/>
          <w:sz w:val="24"/>
          <w:szCs w:val="24"/>
        </w:rPr>
        <w:t>Breach of these requirements, which are made covenants running with the land, re</w:t>
      </w:r>
      <w:r w:rsidR="00542575" w:rsidRPr="00095144">
        <w:rPr>
          <w:rFonts w:ascii="Times New Roman" w:hAnsi="Times New Roman"/>
          <w:color w:val="000000"/>
          <w:sz w:val="24"/>
          <w:szCs w:val="24"/>
        </w:rPr>
        <w:t xml:space="preserve">sults in an immediate reversion </w:t>
      </w:r>
      <w:r w:rsidRPr="00095144">
        <w:rPr>
          <w:rFonts w:ascii="Times New Roman" w:hAnsi="Times New Roman"/>
          <w:color w:val="000000"/>
          <w:sz w:val="24"/>
          <w:szCs w:val="24"/>
        </w:rPr>
        <w:t>of title back to the Indian Health Service.</w:t>
      </w:r>
      <w:r w:rsidR="00095144">
        <w:rPr>
          <w:rFonts w:ascii="Times New Roman" w:hAnsi="Times New Roman"/>
          <w:color w:val="000000"/>
          <w:sz w:val="24"/>
          <w:szCs w:val="24"/>
        </w:rPr>
        <w:t xml:space="preserve"> </w:t>
      </w:r>
      <w:r w:rsidRPr="00095144">
        <w:rPr>
          <w:rFonts w:ascii="Times New Roman" w:hAnsi="Times New Roman"/>
          <w:color w:val="000000"/>
          <w:sz w:val="24"/>
          <w:szCs w:val="24"/>
        </w:rPr>
        <w:t xml:space="preserve"> This goes far beyond the conditions for reversion of title back to the United States in section</w:t>
      </w:r>
      <w:r w:rsidR="00876853">
        <w:rPr>
          <w:rFonts w:ascii="Times New Roman" w:hAnsi="Times New Roman"/>
          <w:color w:val="000000"/>
          <w:sz w:val="24"/>
          <w:szCs w:val="24"/>
        </w:rPr>
        <w:t xml:space="preserve"> </w:t>
      </w:r>
      <w:r w:rsidRPr="00095144">
        <w:rPr>
          <w:rFonts w:ascii="Times New Roman" w:hAnsi="Times New Roman"/>
          <w:color w:val="000000"/>
          <w:sz w:val="24"/>
          <w:szCs w:val="24"/>
        </w:rPr>
        <w:t>51 2(c</w:t>
      </w:r>
      <w:proofErr w:type="gramStart"/>
      <w:r w:rsidRPr="00095144">
        <w:rPr>
          <w:rFonts w:ascii="Times New Roman" w:hAnsi="Times New Roman"/>
          <w:color w:val="000000"/>
          <w:sz w:val="24"/>
          <w:szCs w:val="24"/>
        </w:rPr>
        <w:t>)(</w:t>
      </w:r>
      <w:proofErr w:type="gramEnd"/>
      <w:r w:rsidRPr="00095144">
        <w:rPr>
          <w:rFonts w:ascii="Times New Roman" w:hAnsi="Times New Roman"/>
          <w:color w:val="000000"/>
          <w:sz w:val="24"/>
          <w:szCs w:val="24"/>
        </w:rPr>
        <w:t>2)(B) of the ISDEAA.</w:t>
      </w:r>
    </w:p>
    <w:p w:rsidR="00A334F4" w:rsidRPr="00095144" w:rsidRDefault="00F07EB0" w:rsidP="0020334C">
      <w:pPr>
        <w:spacing w:before="180" w:line="276" w:lineRule="auto"/>
        <w:ind w:right="144" w:firstLine="720"/>
        <w:rPr>
          <w:rFonts w:ascii="Times New Roman" w:hAnsi="Times New Roman"/>
          <w:color w:val="000000"/>
          <w:sz w:val="24"/>
          <w:szCs w:val="24"/>
        </w:rPr>
      </w:pPr>
      <w:r w:rsidRPr="00095144">
        <w:rPr>
          <w:rFonts w:ascii="Times New Roman" w:hAnsi="Times New Roman"/>
          <w:color w:val="000000"/>
          <w:sz w:val="24"/>
          <w:szCs w:val="24"/>
        </w:rPr>
        <w:t xml:space="preserve">While a quitclaim deed transfers the grantor’s interest in the property, it does not warrant that the title is valid. </w:t>
      </w:r>
      <w:r w:rsidR="00095144">
        <w:rPr>
          <w:rFonts w:ascii="Times New Roman" w:hAnsi="Times New Roman"/>
          <w:color w:val="000000"/>
          <w:sz w:val="24"/>
          <w:szCs w:val="24"/>
        </w:rPr>
        <w:t xml:space="preserve"> </w:t>
      </w:r>
      <w:r w:rsidRPr="00095144">
        <w:rPr>
          <w:rFonts w:ascii="Times New Roman" w:hAnsi="Times New Roman"/>
          <w:color w:val="000000"/>
          <w:sz w:val="24"/>
          <w:szCs w:val="24"/>
        </w:rPr>
        <w:t xml:space="preserve">Transfer by warranty deed, which requires special legislation, expressly guarantees the grantor’s good and clear title and contains covenants concerning the quality of title, freedom from encumbrances, and defense of title against other claims. </w:t>
      </w:r>
      <w:r w:rsidR="00095144">
        <w:rPr>
          <w:rFonts w:ascii="Times New Roman" w:hAnsi="Times New Roman"/>
          <w:color w:val="000000"/>
          <w:sz w:val="24"/>
          <w:szCs w:val="24"/>
        </w:rPr>
        <w:t xml:space="preserve"> </w:t>
      </w:r>
      <w:r w:rsidRPr="00095144">
        <w:rPr>
          <w:rFonts w:ascii="Times New Roman" w:hAnsi="Times New Roman"/>
          <w:color w:val="000000"/>
          <w:sz w:val="24"/>
          <w:szCs w:val="24"/>
        </w:rPr>
        <w:t xml:space="preserve">This gives the </w:t>
      </w:r>
      <w:proofErr w:type="spellStart"/>
      <w:r w:rsidRPr="00095144">
        <w:rPr>
          <w:rFonts w:ascii="Times New Roman" w:hAnsi="Times New Roman"/>
          <w:color w:val="000000"/>
          <w:sz w:val="24"/>
          <w:szCs w:val="24"/>
        </w:rPr>
        <w:t>Maniilaq</w:t>
      </w:r>
      <w:proofErr w:type="spellEnd"/>
      <w:r w:rsidRPr="00095144">
        <w:rPr>
          <w:rFonts w:ascii="Times New Roman" w:hAnsi="Times New Roman"/>
          <w:color w:val="000000"/>
          <w:sz w:val="24"/>
          <w:szCs w:val="24"/>
        </w:rPr>
        <w:t xml:space="preserve"> Association more security in its title and more flexibility in use of the property in carrying out health and social services programs for its member villages.</w:t>
      </w:r>
    </w:p>
    <w:p w:rsidR="00A334F4" w:rsidRPr="00095144" w:rsidRDefault="00F00689" w:rsidP="0020334C">
      <w:pPr>
        <w:spacing w:before="180" w:line="276" w:lineRule="auto"/>
        <w:ind w:right="144" w:firstLine="720"/>
        <w:rPr>
          <w:rFonts w:ascii="Times New Roman" w:hAnsi="Times New Roman"/>
          <w:color w:val="000000"/>
          <w:sz w:val="24"/>
          <w:szCs w:val="24"/>
        </w:rPr>
      </w:pPr>
      <w:r w:rsidRPr="00095144">
        <w:rPr>
          <w:rFonts w:ascii="Times New Roman" w:hAnsi="Times New Roman"/>
          <w:color w:val="000000"/>
          <w:sz w:val="24"/>
          <w:szCs w:val="24"/>
        </w:rPr>
        <w:lastRenderedPageBreak/>
        <w:t>S. 1898/</w:t>
      </w:r>
      <w:r w:rsidR="00F07EB0" w:rsidRPr="00095144">
        <w:rPr>
          <w:rFonts w:ascii="Times New Roman" w:hAnsi="Times New Roman"/>
          <w:color w:val="000000"/>
          <w:sz w:val="24"/>
          <w:szCs w:val="24"/>
        </w:rPr>
        <w:t xml:space="preserve">H. R. 443 exempts the </w:t>
      </w:r>
      <w:proofErr w:type="spellStart"/>
      <w:r w:rsidR="00F07EB0" w:rsidRPr="00095144">
        <w:rPr>
          <w:rFonts w:ascii="Times New Roman" w:hAnsi="Times New Roman"/>
          <w:color w:val="000000"/>
          <w:sz w:val="24"/>
          <w:szCs w:val="24"/>
        </w:rPr>
        <w:t>Maniilaq</w:t>
      </w:r>
      <w:proofErr w:type="spellEnd"/>
      <w:r w:rsidR="00F07EB0" w:rsidRPr="00095144">
        <w:rPr>
          <w:rFonts w:ascii="Times New Roman" w:hAnsi="Times New Roman"/>
          <w:color w:val="000000"/>
          <w:sz w:val="24"/>
          <w:szCs w:val="24"/>
        </w:rPr>
        <w:t xml:space="preserve"> Association from liability for environmental contamination or hazards, as defined in Federal law, present on the property as of the date of conveyance, notwithstanding any provision of Federal law. </w:t>
      </w:r>
      <w:r w:rsidR="00095144">
        <w:rPr>
          <w:rFonts w:ascii="Times New Roman" w:hAnsi="Times New Roman"/>
          <w:color w:val="000000"/>
          <w:sz w:val="24"/>
          <w:szCs w:val="24"/>
        </w:rPr>
        <w:t xml:space="preserve"> </w:t>
      </w:r>
      <w:r w:rsidRPr="00095144">
        <w:rPr>
          <w:rFonts w:ascii="Times New Roman" w:hAnsi="Times New Roman"/>
          <w:color w:val="000000"/>
          <w:sz w:val="24"/>
          <w:szCs w:val="24"/>
        </w:rPr>
        <w:t>S. 1898/</w:t>
      </w:r>
      <w:r w:rsidR="00F07EB0" w:rsidRPr="00095144">
        <w:rPr>
          <w:rFonts w:ascii="Times New Roman" w:hAnsi="Times New Roman"/>
          <w:color w:val="000000"/>
          <w:sz w:val="24"/>
          <w:szCs w:val="24"/>
        </w:rPr>
        <w:t xml:space="preserve">H. R. 443 does not pre-empt state environmental laws and the Secretary is granted any easement or access to the property which may be necessary for the Secretary to satisfy any retained environmental obligations and liability prior to conveyance. </w:t>
      </w:r>
      <w:r w:rsidR="00095144">
        <w:rPr>
          <w:rFonts w:ascii="Times New Roman" w:hAnsi="Times New Roman"/>
          <w:color w:val="000000"/>
          <w:sz w:val="24"/>
          <w:szCs w:val="24"/>
        </w:rPr>
        <w:t xml:space="preserve"> </w:t>
      </w:r>
      <w:r w:rsidR="00F07EB0" w:rsidRPr="00095144">
        <w:rPr>
          <w:rFonts w:ascii="Times New Roman" w:hAnsi="Times New Roman"/>
          <w:color w:val="000000"/>
          <w:sz w:val="24"/>
          <w:szCs w:val="24"/>
        </w:rPr>
        <w:t>The Secretary must also comply with the notice and warranty provisions of the Comprehensive Environmental Response, Compensation, and Liability Act (CERCLA) applicable to transfer of property owned by the United States on which any hazardous substance was stored for one year or more, known to be released, or disposed of on the property.</w:t>
      </w:r>
    </w:p>
    <w:p w:rsidR="00A334F4" w:rsidRPr="00095144" w:rsidRDefault="00F07EB0" w:rsidP="0020334C">
      <w:pPr>
        <w:spacing w:before="180" w:line="276" w:lineRule="auto"/>
        <w:ind w:right="144" w:firstLine="720"/>
        <w:rPr>
          <w:rFonts w:ascii="Times New Roman" w:hAnsi="Times New Roman"/>
          <w:color w:val="000000"/>
          <w:sz w:val="24"/>
          <w:szCs w:val="24"/>
        </w:rPr>
      </w:pPr>
      <w:r w:rsidRPr="00095144">
        <w:rPr>
          <w:rFonts w:ascii="Times New Roman" w:hAnsi="Times New Roman"/>
          <w:color w:val="000000"/>
          <w:sz w:val="24"/>
          <w:szCs w:val="24"/>
        </w:rPr>
        <w:t xml:space="preserve">Enactment of </w:t>
      </w:r>
      <w:r w:rsidR="00F00689" w:rsidRPr="00095144">
        <w:rPr>
          <w:rFonts w:ascii="Times New Roman" w:hAnsi="Times New Roman"/>
          <w:color w:val="000000"/>
          <w:sz w:val="24"/>
          <w:szCs w:val="24"/>
        </w:rPr>
        <w:t>S. 1898/</w:t>
      </w:r>
      <w:r w:rsidRPr="00095144">
        <w:rPr>
          <w:rFonts w:ascii="Times New Roman" w:hAnsi="Times New Roman"/>
          <w:color w:val="000000"/>
          <w:sz w:val="24"/>
          <w:szCs w:val="24"/>
        </w:rPr>
        <w:t xml:space="preserve">H. R. 443 will enable the </w:t>
      </w:r>
      <w:proofErr w:type="spellStart"/>
      <w:r w:rsidRPr="00095144">
        <w:rPr>
          <w:rFonts w:ascii="Times New Roman" w:hAnsi="Times New Roman"/>
          <w:color w:val="000000"/>
          <w:sz w:val="24"/>
          <w:szCs w:val="24"/>
        </w:rPr>
        <w:t>Maniilaq</w:t>
      </w:r>
      <w:proofErr w:type="spellEnd"/>
      <w:r w:rsidRPr="00095144">
        <w:rPr>
          <w:rFonts w:ascii="Times New Roman" w:hAnsi="Times New Roman"/>
          <w:color w:val="000000"/>
          <w:sz w:val="24"/>
          <w:szCs w:val="24"/>
        </w:rPr>
        <w:t xml:space="preserve"> Association to exercise its rights of ownership in the transferred property consistent with the ISDEAA and th</w:t>
      </w:r>
      <w:r w:rsidR="00A334F4" w:rsidRPr="00095144">
        <w:rPr>
          <w:rFonts w:ascii="Times New Roman" w:hAnsi="Times New Roman"/>
          <w:color w:val="000000"/>
          <w:sz w:val="24"/>
          <w:szCs w:val="24"/>
        </w:rPr>
        <w:t>e principles of self-governance.</w:t>
      </w:r>
    </w:p>
    <w:p w:rsidR="0022541F" w:rsidRPr="00095144" w:rsidRDefault="00F07EB0" w:rsidP="0020334C">
      <w:pPr>
        <w:spacing w:before="180" w:after="576" w:line="276" w:lineRule="auto"/>
        <w:ind w:right="144" w:firstLine="720"/>
        <w:rPr>
          <w:rFonts w:ascii="Times New Roman" w:hAnsi="Times New Roman"/>
          <w:color w:val="000000"/>
          <w:sz w:val="24"/>
          <w:szCs w:val="24"/>
        </w:rPr>
      </w:pPr>
      <w:r w:rsidRPr="00095144">
        <w:rPr>
          <w:rFonts w:ascii="Times New Roman" w:hAnsi="Times New Roman"/>
          <w:color w:val="000000"/>
          <w:sz w:val="24"/>
          <w:szCs w:val="24"/>
        </w:rPr>
        <w:t xml:space="preserve">On behalf of the </w:t>
      </w:r>
      <w:proofErr w:type="spellStart"/>
      <w:r w:rsidRPr="00095144">
        <w:rPr>
          <w:rFonts w:ascii="Times New Roman" w:hAnsi="Times New Roman"/>
          <w:color w:val="000000"/>
          <w:sz w:val="24"/>
          <w:szCs w:val="24"/>
        </w:rPr>
        <w:t>Maniilaq</w:t>
      </w:r>
      <w:proofErr w:type="spellEnd"/>
      <w:r w:rsidRPr="00095144">
        <w:rPr>
          <w:rFonts w:ascii="Times New Roman" w:hAnsi="Times New Roman"/>
          <w:color w:val="000000"/>
          <w:sz w:val="24"/>
          <w:szCs w:val="24"/>
        </w:rPr>
        <w:t xml:space="preserve"> Association</w:t>
      </w:r>
      <w:r w:rsidR="00D24498">
        <w:rPr>
          <w:rFonts w:ascii="Times New Roman" w:hAnsi="Times New Roman"/>
          <w:color w:val="000000"/>
          <w:sz w:val="24"/>
          <w:szCs w:val="24"/>
        </w:rPr>
        <w:t>,</w:t>
      </w:r>
      <w:r w:rsidRPr="00095144">
        <w:rPr>
          <w:rFonts w:ascii="Times New Roman" w:hAnsi="Times New Roman"/>
          <w:color w:val="000000"/>
          <w:sz w:val="24"/>
          <w:szCs w:val="24"/>
        </w:rPr>
        <w:t xml:space="preserve"> including our twelve constituent villages and their </w:t>
      </w:r>
      <w:r w:rsidR="00CB68D3" w:rsidRPr="00095144">
        <w:rPr>
          <w:rFonts w:ascii="Times New Roman" w:hAnsi="Times New Roman"/>
          <w:color w:val="000000"/>
          <w:sz w:val="24"/>
          <w:szCs w:val="24"/>
        </w:rPr>
        <w:t>members</w:t>
      </w:r>
      <w:r w:rsidR="000A4F67" w:rsidRPr="00095144">
        <w:rPr>
          <w:rFonts w:ascii="Times New Roman" w:hAnsi="Times New Roman"/>
          <w:color w:val="000000"/>
          <w:sz w:val="24"/>
          <w:szCs w:val="24"/>
        </w:rPr>
        <w:t>,</w:t>
      </w:r>
      <w:r w:rsidR="00A334F4" w:rsidRPr="00095144">
        <w:rPr>
          <w:rFonts w:ascii="Times New Roman" w:hAnsi="Times New Roman"/>
          <w:color w:val="000000"/>
          <w:sz w:val="24"/>
          <w:szCs w:val="24"/>
        </w:rPr>
        <w:t xml:space="preserve"> we thank the Committee for hold</w:t>
      </w:r>
      <w:r w:rsidR="00095144">
        <w:rPr>
          <w:rFonts w:ascii="Times New Roman" w:hAnsi="Times New Roman"/>
          <w:color w:val="000000"/>
          <w:sz w:val="24"/>
          <w:szCs w:val="24"/>
        </w:rPr>
        <w:t>ing</w:t>
      </w:r>
      <w:r w:rsidR="00A334F4" w:rsidRPr="00095144">
        <w:rPr>
          <w:rFonts w:ascii="Times New Roman" w:hAnsi="Times New Roman"/>
          <w:color w:val="000000"/>
          <w:sz w:val="24"/>
          <w:szCs w:val="24"/>
        </w:rPr>
        <w:t xml:space="preserve"> this hearing on S. 1898.</w:t>
      </w:r>
    </w:p>
    <w:p w:rsidR="00CC73EE" w:rsidRPr="00095144" w:rsidRDefault="00CC73EE" w:rsidP="0020334C">
      <w:pPr>
        <w:spacing w:before="180" w:after="576" w:line="276" w:lineRule="auto"/>
        <w:ind w:right="144" w:firstLine="720"/>
        <w:rPr>
          <w:rFonts w:ascii="Times New Roman" w:hAnsi="Times New Roman"/>
          <w:color w:val="000000"/>
          <w:sz w:val="24"/>
          <w:szCs w:val="24"/>
        </w:rPr>
      </w:pPr>
    </w:p>
    <w:sectPr w:rsidR="00CC73EE" w:rsidRPr="00095144" w:rsidSect="0022541F">
      <w:footerReference w:type="default" r:id="rId8"/>
      <w:footerReference w:type="first" r:id="rId9"/>
      <w:pgSz w:w="12240" w:h="15840"/>
      <w:pgMar w:top="1451" w:right="1394" w:bottom="845" w:left="1368" w:header="720" w:footer="96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402" w:rsidRDefault="00851402" w:rsidP="0022541F">
      <w:r>
        <w:separator/>
      </w:r>
    </w:p>
  </w:endnote>
  <w:endnote w:type="continuationSeparator" w:id="0">
    <w:p w:rsidR="00851402" w:rsidRDefault="00851402" w:rsidP="002254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1F" w:rsidRDefault="00AA126E">
    <w:pPr>
      <w:pStyle w:val="Footer"/>
      <w:rPr>
        <w:rFonts w:ascii="Times New Roman" w:hAnsi="Times New Roman"/>
        <w:color w:val="000000"/>
        <w:sz w:val="16"/>
      </w:rPr>
    </w:pPr>
    <w:r w:rsidRPr="00AA126E">
      <w:pict>
        <v:shapetype id="_x0000_t0" o:spid="_x0000_m2054" coordsize="21600,21600" o:spt="202" path="m,l,21600r21600,l21600,xe">
          <v:stroke joinstyle="round"/>
          <v:path gradientshapeok="f" o:connecttype="segments"/>
        </v:shapetype>
      </w:pict>
    </w:r>
    <w:r w:rsidRPr="00AA126E">
      <w:pict>
        <v:shape id="_x0000_s0" o:spid="_x0000_s2051" type="#_x0000_t0" style="position:absolute;margin-left:70.85pt;margin-top:0;width:470.25pt;height:10.5pt;z-index:-2;mso-wrap-distance-left:0;mso-wrap-distance-right:0;mso-position-horizontal-relative:page" o:spt="202" path="m,l,21600r21600,l21600,xe" filled="f" stroked="f">
          <v:fill opacity="1" o:opacity2="1" recolor="f" rotate="f" type="solid"/>
          <v:stroke joinstyle="round"/>
          <v:path gradientshapeok="f" o:connecttype="segments"/>
          <v:textbox inset="0,0,0,0">
            <w:txbxContent>
              <w:p w:rsidR="0022541F" w:rsidRPr="00095144" w:rsidRDefault="00AA126E">
                <w:pPr>
                  <w:jc w:val="center"/>
                  <w:rPr>
                    <w:rFonts w:ascii="Times New Roman" w:hAnsi="Times New Roman"/>
                    <w:color w:val="000000"/>
                    <w:w w:val="105"/>
                  </w:rPr>
                </w:pPr>
                <w:r w:rsidRPr="00095144">
                  <w:rPr>
                    <w:rFonts w:ascii="Times New Roman" w:hAnsi="Times New Roman"/>
                  </w:rPr>
                  <w:fldChar w:fldCharType="begin"/>
                </w:r>
                <w:r w:rsidR="00F07EB0" w:rsidRPr="00095144">
                  <w:rPr>
                    <w:rFonts w:ascii="Times New Roman" w:hAnsi="Times New Roman"/>
                  </w:rPr>
                  <w:instrText>PAGE</w:instrText>
                </w:r>
                <w:r w:rsidRPr="00095144">
                  <w:rPr>
                    <w:rFonts w:ascii="Times New Roman" w:hAnsi="Times New Roman"/>
                  </w:rPr>
                  <w:fldChar w:fldCharType="separate"/>
                </w:r>
                <w:r w:rsidR="00D24498">
                  <w:rPr>
                    <w:rFonts w:ascii="Times New Roman" w:hAnsi="Times New Roman"/>
                    <w:noProof/>
                  </w:rPr>
                  <w:t>3</w:t>
                </w:r>
                <w:r w:rsidRPr="00095144">
                  <w:rPr>
                    <w:rFonts w:ascii="Times New Roman" w:hAnsi="Times New Roman"/>
                  </w:rPr>
                  <w:fldChar w:fldCharType="end"/>
                </w:r>
              </w:p>
            </w:txbxContent>
          </v:textbox>
          <w10:wrap type="square"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1F" w:rsidRDefault="00AA126E">
    <w:pPr>
      <w:pStyle w:val="Footer"/>
      <w:rPr>
        <w:rFonts w:ascii="Times New Roman" w:hAnsi="Times New Roman"/>
        <w:color w:val="000000"/>
        <w:sz w:val="16"/>
      </w:rPr>
    </w:pPr>
    <w:r w:rsidRPr="00AA126E">
      <w:pict>
        <v:shapetype id="_x0000_m2053" coordsize="21600,21600" o:spt="202" path="m,l,21600r21600,l21600,xe">
          <v:stroke joinstyle="round"/>
          <v:path gradientshapeok="f" o:connecttype="segments"/>
        </v:shapetype>
      </w:pict>
    </w:r>
    <w:r w:rsidRPr="00AA126E">
      <w:pict>
        <v:shape id="_x0000_s2052" type="#_x0000_m2053" style="position:absolute;margin-left:70.85pt;margin-top:0;width:470.25pt;height:10.5pt;z-index:-1;mso-wrap-distance-left:0;mso-wrap-distance-right:0;mso-position-horizontal-relative:page" o:spt="202" path="m,l,21600r21600,l21600,xe" filled="f" stroked="f">
          <v:fill opacity="1" o:opacity2="1" recolor="f" rotate="f" type="solid"/>
          <v:stroke joinstyle="round"/>
          <v:path gradientshapeok="f" o:connecttype="segments"/>
          <v:textbox inset="0,0,0,0">
            <w:txbxContent>
              <w:p w:rsidR="0022541F" w:rsidRPr="00095144" w:rsidRDefault="00AA126E">
                <w:pPr>
                  <w:jc w:val="center"/>
                  <w:rPr>
                    <w:rFonts w:ascii="Times New Roman" w:hAnsi="Times New Roman"/>
                    <w:color w:val="000000"/>
                    <w:w w:val="105"/>
                  </w:rPr>
                </w:pPr>
                <w:r w:rsidRPr="00095144">
                  <w:rPr>
                    <w:rFonts w:ascii="Times New Roman" w:hAnsi="Times New Roman"/>
                  </w:rPr>
                  <w:fldChar w:fldCharType="begin"/>
                </w:r>
                <w:r w:rsidR="00F07EB0" w:rsidRPr="00095144">
                  <w:rPr>
                    <w:rFonts w:ascii="Times New Roman" w:hAnsi="Times New Roman"/>
                  </w:rPr>
                  <w:instrText>PAGE</w:instrText>
                </w:r>
                <w:r w:rsidRPr="00095144">
                  <w:rPr>
                    <w:rFonts w:ascii="Times New Roman" w:hAnsi="Times New Roman"/>
                  </w:rPr>
                  <w:fldChar w:fldCharType="separate"/>
                </w:r>
                <w:r w:rsidR="00D24498">
                  <w:rPr>
                    <w:rFonts w:ascii="Times New Roman" w:hAnsi="Times New Roman"/>
                    <w:noProof/>
                  </w:rPr>
                  <w:t>1</w:t>
                </w:r>
                <w:r w:rsidRPr="00095144">
                  <w:rPr>
                    <w:rFonts w:ascii="Times New Roman" w:hAnsi="Times New Roman"/>
                  </w:rPr>
                  <w:fldChar w:fldCharType="end"/>
                </w:r>
              </w:p>
            </w:txbxContent>
          </v:textbox>
          <w10:wrap type="square"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402" w:rsidRDefault="00851402" w:rsidP="0022541F">
      <w:r>
        <w:separator/>
      </w:r>
    </w:p>
  </w:footnote>
  <w:footnote w:type="continuationSeparator" w:id="0">
    <w:p w:rsidR="00851402" w:rsidRDefault="00851402" w:rsidP="002254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E1AE3"/>
    <w:multiLevelType w:val="multilevel"/>
    <w:tmpl w:val="82F4692C"/>
    <w:lvl w:ilvl="0">
      <w:start w:val="1"/>
      <w:numFmt w:val="bullet"/>
      <w:lvlText w:val=""/>
      <w:lvlJc w:val="left"/>
      <w:pPr>
        <w:tabs>
          <w:tab w:val="decimal" w:pos="360"/>
        </w:tabs>
        <w:ind w:left="720"/>
      </w:pPr>
      <w:rPr>
        <w:rFonts w:ascii="Symbol" w:hAnsi="Symbol"/>
        <w:b/>
        <w:strike w:val="0"/>
        <w:color w:val="000000"/>
        <w:spacing w:val="-4"/>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541F"/>
    <w:rsid w:val="00011905"/>
    <w:rsid w:val="00095144"/>
    <w:rsid w:val="000960DA"/>
    <w:rsid w:val="000A4F67"/>
    <w:rsid w:val="001B4F02"/>
    <w:rsid w:val="001C0087"/>
    <w:rsid w:val="001C7CB6"/>
    <w:rsid w:val="0020334C"/>
    <w:rsid w:val="0022541F"/>
    <w:rsid w:val="002869E0"/>
    <w:rsid w:val="002A7FF1"/>
    <w:rsid w:val="003343C0"/>
    <w:rsid w:val="0035478E"/>
    <w:rsid w:val="00367E0C"/>
    <w:rsid w:val="003A3221"/>
    <w:rsid w:val="003D0427"/>
    <w:rsid w:val="004B4EB0"/>
    <w:rsid w:val="005263FE"/>
    <w:rsid w:val="00542575"/>
    <w:rsid w:val="0070695C"/>
    <w:rsid w:val="00706FB3"/>
    <w:rsid w:val="00744947"/>
    <w:rsid w:val="0080714D"/>
    <w:rsid w:val="00851402"/>
    <w:rsid w:val="00876853"/>
    <w:rsid w:val="00895B8A"/>
    <w:rsid w:val="008A4A1E"/>
    <w:rsid w:val="008F20ED"/>
    <w:rsid w:val="00910BB2"/>
    <w:rsid w:val="00963ADB"/>
    <w:rsid w:val="00981A36"/>
    <w:rsid w:val="00984A1F"/>
    <w:rsid w:val="009D1CF1"/>
    <w:rsid w:val="009F3F77"/>
    <w:rsid w:val="00A334F4"/>
    <w:rsid w:val="00A54F61"/>
    <w:rsid w:val="00AA126E"/>
    <w:rsid w:val="00AB15C2"/>
    <w:rsid w:val="00B15207"/>
    <w:rsid w:val="00C73D33"/>
    <w:rsid w:val="00CB172F"/>
    <w:rsid w:val="00CB68D3"/>
    <w:rsid w:val="00CC73EE"/>
    <w:rsid w:val="00CF076F"/>
    <w:rsid w:val="00D164EF"/>
    <w:rsid w:val="00D24498"/>
    <w:rsid w:val="00E25E26"/>
    <w:rsid w:val="00E60C83"/>
    <w:rsid w:val="00F00689"/>
    <w:rsid w:val="00F07EB0"/>
    <w:rsid w:val="00FC4F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1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semiHidden/>
    <w:unhideWhenUsed/>
    <w:rsid w:val="0022541F"/>
    <w:pPr>
      <w:tabs>
        <w:tab w:val="center" w:pos="4320"/>
        <w:tab w:val="right" w:pos="8640"/>
      </w:tabs>
    </w:pPr>
    <w:rPr>
      <w:sz w:val="22"/>
      <w:szCs w:val="22"/>
    </w:rPr>
  </w:style>
  <w:style w:type="character" w:customStyle="1" w:styleId="FooterChar">
    <w:name w:val="Footer Char"/>
    <w:link w:val="Footer"/>
    <w:uiPriority w:val="99"/>
    <w:semiHidden/>
    <w:rsid w:val="0022541F"/>
    <w:rPr>
      <w:sz w:val="22"/>
      <w:szCs w:val="22"/>
      <w:lang w:val="en-US" w:eastAsia="en-US" w:bidi="ar-SA"/>
    </w:rPr>
  </w:style>
  <w:style w:type="paragraph" w:styleId="FootnoteText">
    <w:name w:val="footnote text"/>
    <w:basedOn w:val="Normal"/>
    <w:link w:val="FootnoteTextChar"/>
    <w:uiPriority w:val="99"/>
    <w:semiHidden/>
    <w:unhideWhenUsed/>
    <w:rsid w:val="00011905"/>
    <w:rPr>
      <w:sz w:val="20"/>
      <w:szCs w:val="20"/>
    </w:rPr>
  </w:style>
  <w:style w:type="character" w:customStyle="1" w:styleId="FootnoteTextChar">
    <w:name w:val="Footnote Text Char"/>
    <w:basedOn w:val="DefaultParagraphFont"/>
    <w:link w:val="FootnoteText"/>
    <w:uiPriority w:val="99"/>
    <w:semiHidden/>
    <w:rsid w:val="00011905"/>
    <w:rPr>
      <w:sz w:val="20"/>
      <w:szCs w:val="20"/>
    </w:rPr>
  </w:style>
  <w:style w:type="character" w:styleId="FootnoteReference">
    <w:name w:val="footnote reference"/>
    <w:basedOn w:val="DefaultParagraphFont"/>
    <w:uiPriority w:val="99"/>
    <w:semiHidden/>
    <w:unhideWhenUsed/>
    <w:rsid w:val="00011905"/>
    <w:rPr>
      <w:vertAlign w:val="superscript"/>
    </w:rPr>
  </w:style>
  <w:style w:type="paragraph" w:styleId="Header">
    <w:name w:val="header"/>
    <w:basedOn w:val="Normal"/>
    <w:link w:val="HeaderChar"/>
    <w:uiPriority w:val="99"/>
    <w:semiHidden/>
    <w:unhideWhenUsed/>
    <w:rsid w:val="00095144"/>
    <w:pPr>
      <w:tabs>
        <w:tab w:val="center" w:pos="4680"/>
        <w:tab w:val="right" w:pos="9360"/>
      </w:tabs>
    </w:pPr>
  </w:style>
  <w:style w:type="character" w:customStyle="1" w:styleId="HeaderChar">
    <w:name w:val="Header Char"/>
    <w:basedOn w:val="DefaultParagraphFont"/>
    <w:link w:val="Header"/>
    <w:uiPriority w:val="99"/>
    <w:semiHidden/>
    <w:rsid w:val="00095144"/>
  </w:style>
  <w:style w:type="paragraph" w:styleId="BalloonText">
    <w:name w:val="Balloon Text"/>
    <w:basedOn w:val="Normal"/>
    <w:link w:val="BalloonTextChar"/>
    <w:uiPriority w:val="99"/>
    <w:semiHidden/>
    <w:unhideWhenUsed/>
    <w:rsid w:val="00AB15C2"/>
    <w:rPr>
      <w:rFonts w:ascii="Tahoma" w:hAnsi="Tahoma" w:cs="Tahoma"/>
      <w:sz w:val="16"/>
      <w:szCs w:val="16"/>
    </w:rPr>
  </w:style>
  <w:style w:type="character" w:customStyle="1" w:styleId="BalloonTextChar">
    <w:name w:val="Balloon Text Char"/>
    <w:basedOn w:val="DefaultParagraphFont"/>
    <w:link w:val="BalloonText"/>
    <w:uiPriority w:val="99"/>
    <w:semiHidden/>
    <w:rsid w:val="00AB15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ED422-E4C5-438C-B798-C3EA56CF7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2012-03-15T17:28:00Z</dcterms:created>
  <dcterms:modified xsi:type="dcterms:W3CDTF">2012-03-15T18:39:00Z</dcterms:modified>
  <cp:category> </cp:category>
</cp:coreProperties>
</file>