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55" w:rsidRPr="0069020A" w:rsidRDefault="00BD0355" w:rsidP="00BD0355">
      <w:pPr>
        <w:jc w:val="center"/>
        <w:rPr>
          <w:rFonts w:eastAsia="Times New Roman"/>
          <w:b/>
          <w:caps/>
        </w:rPr>
      </w:pPr>
      <w:r w:rsidRPr="0069020A">
        <w:rPr>
          <w:rFonts w:eastAsia="Times New Roman"/>
          <w:b/>
          <w:caps/>
        </w:rPr>
        <w:t>Statement of Ken Salazar</w:t>
      </w:r>
    </w:p>
    <w:p w:rsidR="00BD0355" w:rsidRPr="0069020A" w:rsidRDefault="00BD0355" w:rsidP="00BD0355">
      <w:pPr>
        <w:jc w:val="center"/>
        <w:rPr>
          <w:rFonts w:eastAsia="Times New Roman"/>
          <w:b/>
          <w:caps/>
        </w:rPr>
      </w:pPr>
      <w:r w:rsidRPr="0069020A">
        <w:rPr>
          <w:rFonts w:eastAsia="Times New Roman"/>
          <w:b/>
          <w:caps/>
        </w:rPr>
        <w:t>Secretary of the Interior</w:t>
      </w:r>
    </w:p>
    <w:p w:rsidR="00BD0355" w:rsidRPr="0069020A" w:rsidRDefault="00BD0355" w:rsidP="00BD0355">
      <w:pPr>
        <w:jc w:val="center"/>
        <w:rPr>
          <w:rFonts w:eastAsia="Times New Roman"/>
          <w:b/>
          <w:caps/>
        </w:rPr>
      </w:pPr>
      <w:r w:rsidRPr="0069020A">
        <w:rPr>
          <w:rFonts w:eastAsia="Times New Roman"/>
          <w:b/>
          <w:caps/>
        </w:rPr>
        <w:t xml:space="preserve">on </w:t>
      </w:r>
    </w:p>
    <w:p w:rsidR="00BD0355" w:rsidRPr="0069020A" w:rsidRDefault="00C5523C" w:rsidP="00BD0355">
      <w:pPr>
        <w:jc w:val="center"/>
        <w:rPr>
          <w:rFonts w:eastAsia="Times New Roman"/>
          <w:b/>
          <w:caps/>
        </w:rPr>
      </w:pPr>
      <w:r w:rsidRPr="0069020A">
        <w:rPr>
          <w:rFonts w:eastAsia="Times New Roman"/>
          <w:b/>
          <w:caps/>
        </w:rPr>
        <w:t xml:space="preserve">the proposed </w:t>
      </w:r>
      <w:r w:rsidR="0069020A" w:rsidRPr="0069020A">
        <w:rPr>
          <w:rFonts w:eastAsia="Times New Roman"/>
          <w:b/>
          <w:caps/>
        </w:rPr>
        <w:t xml:space="preserve">settlement of </w:t>
      </w:r>
    </w:p>
    <w:p w:rsidR="0069020A" w:rsidRPr="0069020A" w:rsidRDefault="0069020A" w:rsidP="00BD0355">
      <w:pPr>
        <w:jc w:val="center"/>
        <w:rPr>
          <w:rFonts w:eastAsia="Times New Roman"/>
          <w:b/>
          <w:caps/>
        </w:rPr>
      </w:pPr>
      <w:r w:rsidRPr="0069020A">
        <w:rPr>
          <w:rFonts w:eastAsia="Times New Roman"/>
          <w:b/>
          <w:caps/>
        </w:rPr>
        <w:t>cobell v. salazar</w:t>
      </w:r>
    </w:p>
    <w:p w:rsidR="00BD0355" w:rsidRPr="00BD0355" w:rsidRDefault="00BD0355" w:rsidP="00BD0355">
      <w:pPr>
        <w:adjustRightInd w:val="0"/>
        <w:jc w:val="center"/>
        <w:rPr>
          <w:rFonts w:eastAsia="Times New Roman"/>
          <w:b/>
        </w:rPr>
      </w:pPr>
      <w:r w:rsidRPr="00BD0355">
        <w:rPr>
          <w:rFonts w:eastAsia="Times New Roman"/>
          <w:b/>
        </w:rPr>
        <w:t>BEFORE THE</w:t>
      </w:r>
    </w:p>
    <w:p w:rsidR="00BD0355" w:rsidRPr="00BD0355" w:rsidRDefault="00BD0355" w:rsidP="00BD0355">
      <w:pPr>
        <w:adjustRightInd w:val="0"/>
        <w:ind w:right="-720"/>
        <w:jc w:val="center"/>
        <w:rPr>
          <w:rFonts w:eastAsia="Times New Roman"/>
          <w:b/>
        </w:rPr>
      </w:pPr>
      <w:r w:rsidRPr="00BD0355">
        <w:rPr>
          <w:rFonts w:eastAsia="Times New Roman"/>
          <w:b/>
        </w:rPr>
        <w:t>COMMITTEE ON INDIAN AFFAIRS</w:t>
      </w:r>
    </w:p>
    <w:p w:rsidR="00BD0355" w:rsidRPr="00BD0355" w:rsidRDefault="00BD0355" w:rsidP="00BD0355">
      <w:pPr>
        <w:adjustRightInd w:val="0"/>
        <w:jc w:val="center"/>
        <w:rPr>
          <w:rFonts w:eastAsia="Times New Roman"/>
          <w:b/>
        </w:rPr>
      </w:pPr>
      <w:r w:rsidRPr="00BD0355">
        <w:rPr>
          <w:rFonts w:eastAsia="Times New Roman"/>
          <w:b/>
        </w:rPr>
        <w:t>UNITED STATES SENATE</w:t>
      </w:r>
    </w:p>
    <w:p w:rsidR="00BD0355" w:rsidRPr="00BD0355" w:rsidRDefault="00BD0355" w:rsidP="00BD0355">
      <w:pPr>
        <w:jc w:val="center"/>
        <w:rPr>
          <w:rFonts w:eastAsia="Times New Roman"/>
          <w:b/>
        </w:rPr>
      </w:pPr>
    </w:p>
    <w:p w:rsidR="00BD0355" w:rsidRDefault="008624FA" w:rsidP="00BD0355">
      <w:pPr>
        <w:jc w:val="center"/>
        <w:rPr>
          <w:rFonts w:eastAsia="Times New Roman"/>
          <w:b/>
        </w:rPr>
      </w:pPr>
      <w:r>
        <w:rPr>
          <w:rFonts w:eastAsia="Times New Roman"/>
          <w:b/>
        </w:rPr>
        <w:t>December 17</w:t>
      </w:r>
      <w:r w:rsidR="00BD0355" w:rsidRPr="00BD0355">
        <w:rPr>
          <w:rFonts w:eastAsia="Times New Roman"/>
          <w:b/>
        </w:rPr>
        <w:t>, 2009</w:t>
      </w:r>
    </w:p>
    <w:p w:rsidR="00BD0355" w:rsidRPr="00BD0355" w:rsidRDefault="00BD0355" w:rsidP="00BD0355">
      <w:pPr>
        <w:jc w:val="center"/>
        <w:rPr>
          <w:rFonts w:eastAsia="Times New Roman"/>
          <w:b/>
        </w:rPr>
      </w:pPr>
    </w:p>
    <w:p w:rsidR="006645E7" w:rsidRDefault="0069020A" w:rsidP="0055184E">
      <w:pPr>
        <w:spacing w:line="480" w:lineRule="auto"/>
      </w:pPr>
      <w:r>
        <w:t xml:space="preserve">Good </w:t>
      </w:r>
      <w:r w:rsidR="0007394A">
        <w:t xml:space="preserve">afternoon </w:t>
      </w:r>
      <w:r>
        <w:t>Mr. Chairman, Vice Chairman, and members of the Committee.  Thank you for the opportunity to provide the</w:t>
      </w:r>
      <w:r w:rsidR="00113356">
        <w:t xml:space="preserve"> views of the Department of the Interior</w:t>
      </w:r>
      <w:r>
        <w:t xml:space="preserve"> (Department)</w:t>
      </w:r>
      <w:r w:rsidR="00113356">
        <w:t xml:space="preserve"> regarding the </w:t>
      </w:r>
      <w:r w:rsidR="003E4DD7">
        <w:t xml:space="preserve">settlement </w:t>
      </w:r>
      <w:r w:rsidR="00113356">
        <w:t xml:space="preserve">that </w:t>
      </w:r>
      <w:r w:rsidR="00447A66">
        <w:t xml:space="preserve">has been reached between the United States and the plaintiffs in </w:t>
      </w:r>
      <w:r w:rsidR="003E4DD7">
        <w:t xml:space="preserve">the </w:t>
      </w:r>
      <w:r w:rsidR="003E4DD7" w:rsidRPr="00303430">
        <w:rPr>
          <w:i/>
          <w:iCs/>
        </w:rPr>
        <w:t>Cobell</w:t>
      </w:r>
      <w:r w:rsidR="003E4DD7">
        <w:t xml:space="preserve"> class-action </w:t>
      </w:r>
      <w:r w:rsidR="00111E41">
        <w:t>lawsuit</w:t>
      </w:r>
      <w:r w:rsidR="00723F74">
        <w:t xml:space="preserve"> and accompanying legislation, the “Individual Indian Money Account Litigation Settlement Act</w:t>
      </w:r>
      <w:r w:rsidR="003E4DD7">
        <w:t>.</w:t>
      </w:r>
      <w:r w:rsidR="00723F74">
        <w:t>”</w:t>
      </w:r>
      <w:r w:rsidR="003E4DD7">
        <w:t xml:space="preserve">  </w:t>
      </w:r>
      <w:r w:rsidR="009A1C99">
        <w:t xml:space="preserve">The </w:t>
      </w:r>
      <w:r w:rsidR="009A1C99">
        <w:rPr>
          <w:i/>
          <w:iCs/>
        </w:rPr>
        <w:t>Cobell</w:t>
      </w:r>
      <w:r w:rsidR="007016D0">
        <w:t xml:space="preserve"> case</w:t>
      </w:r>
      <w:r w:rsidR="004D75F9">
        <w:t>, which</w:t>
      </w:r>
      <w:r w:rsidR="000D6C3A">
        <w:t xml:space="preserve"> devolved into</w:t>
      </w:r>
      <w:r w:rsidR="00772C5F">
        <w:t xml:space="preserve"> contentious and acrimonious litigati</w:t>
      </w:r>
      <w:r w:rsidR="00723F74">
        <w:t xml:space="preserve">on </w:t>
      </w:r>
      <w:r w:rsidR="004D75F9">
        <w:t xml:space="preserve">over the Department’s trust </w:t>
      </w:r>
      <w:proofErr w:type="gramStart"/>
      <w:r w:rsidR="004D75F9">
        <w:t>management</w:t>
      </w:r>
      <w:proofErr w:type="gramEnd"/>
      <w:r w:rsidR="004D75F9">
        <w:t xml:space="preserve"> and accounting of hundreds of thousands of individual Indian trust accounts, has </w:t>
      </w:r>
      <w:r w:rsidR="00893CD7">
        <w:t xml:space="preserve">hindered U.S. </w:t>
      </w:r>
      <w:r w:rsidR="00900E7E">
        <w:t xml:space="preserve">efforts </w:t>
      </w:r>
      <w:r w:rsidR="00644AC1">
        <w:t xml:space="preserve">to work effectively </w:t>
      </w:r>
      <w:r w:rsidR="008D73E7">
        <w:t xml:space="preserve">in Indian </w:t>
      </w:r>
      <w:r w:rsidR="004D75F9">
        <w:t>C</w:t>
      </w:r>
      <w:r w:rsidR="008D73E7">
        <w:t>ountry</w:t>
      </w:r>
      <w:r w:rsidR="00772C5F">
        <w:t xml:space="preserve"> for more than </w:t>
      </w:r>
      <w:r w:rsidR="00303430">
        <w:t>a decade</w:t>
      </w:r>
      <w:r w:rsidR="00673375">
        <w:t>.  During the</w:t>
      </w:r>
      <w:r w:rsidR="00F56992">
        <w:t>se</w:t>
      </w:r>
      <w:r w:rsidR="00673375">
        <w:t xml:space="preserve"> years many members of this Committee have signaled a desire </w:t>
      </w:r>
      <w:r w:rsidR="00F56992">
        <w:t xml:space="preserve">for the agencies involved in this </w:t>
      </w:r>
      <w:r w:rsidR="00772C5F">
        <w:t>litigation</w:t>
      </w:r>
      <w:r w:rsidR="00F56992">
        <w:t xml:space="preserve"> to</w:t>
      </w:r>
      <w:r w:rsidR="00772C5F">
        <w:t xml:space="preserve"> find a way to bring the case </w:t>
      </w:r>
      <w:r w:rsidR="00673375">
        <w:t>to resolution.</w:t>
      </w:r>
      <w:r w:rsidR="002632CD">
        <w:t xml:space="preserve">  </w:t>
      </w:r>
      <w:r w:rsidR="0007684C">
        <w:t xml:space="preserve">And this month, we have achieved an agreement.  </w:t>
      </w:r>
      <w:r w:rsidR="002632CD">
        <w:t xml:space="preserve">I am very pleased </w:t>
      </w:r>
      <w:r w:rsidR="000F09EE">
        <w:t>to say</w:t>
      </w:r>
      <w:r w:rsidR="002632CD">
        <w:t xml:space="preserve"> that the settlem</w:t>
      </w:r>
      <w:r w:rsidR="00F0565F">
        <w:t xml:space="preserve">ent </w:t>
      </w:r>
      <w:r w:rsidR="007A0E0B">
        <w:t>we have</w:t>
      </w:r>
      <w:r w:rsidR="00F0565F">
        <w:t xml:space="preserve"> reached </w:t>
      </w:r>
      <w:r w:rsidR="00F173FB">
        <w:t>is a fair one, a forward-</w:t>
      </w:r>
      <w:r w:rsidR="002632CD">
        <w:t>looking one, and</w:t>
      </w:r>
      <w:r w:rsidR="00D473E4">
        <w:t xml:space="preserve"> </w:t>
      </w:r>
      <w:r w:rsidR="000E0D80">
        <w:t xml:space="preserve">one that I am certain </w:t>
      </w:r>
      <w:r w:rsidR="002655E6">
        <w:t xml:space="preserve">will strengthen the </w:t>
      </w:r>
      <w:r w:rsidR="00152E55">
        <w:t>relati</w:t>
      </w:r>
      <w:r w:rsidR="009828BB">
        <w:t>onship between the federal government</w:t>
      </w:r>
      <w:r w:rsidR="00152E55">
        <w:t xml:space="preserve"> and Native Americans</w:t>
      </w:r>
      <w:r w:rsidR="000F09EE">
        <w:t>.</w:t>
      </w:r>
      <w:r w:rsidR="00FC5ED5">
        <w:t xml:space="preserve"> </w:t>
      </w:r>
      <w:r w:rsidR="000F09EE">
        <w:t xml:space="preserve">This settlement will </w:t>
      </w:r>
      <w:r w:rsidR="00FC5ED5">
        <w:t xml:space="preserve">enable us </w:t>
      </w:r>
      <w:r w:rsidR="00785E87">
        <w:t xml:space="preserve">to </w:t>
      </w:r>
      <w:r w:rsidR="00693F9C">
        <w:t>move ahead together and to focus on</w:t>
      </w:r>
      <w:r w:rsidR="002655E6">
        <w:t xml:space="preserve"> the many press</w:t>
      </w:r>
      <w:r w:rsidR="006645E7">
        <w:t xml:space="preserve">ing issues facing Indian </w:t>
      </w:r>
      <w:r w:rsidR="004D75F9">
        <w:t>C</w:t>
      </w:r>
      <w:r w:rsidR="006645E7">
        <w:t>ountry</w:t>
      </w:r>
      <w:r w:rsidR="002655E6">
        <w:t>.</w:t>
      </w:r>
      <w:r w:rsidR="00614E8D">
        <w:t xml:space="preserve">  </w:t>
      </w:r>
    </w:p>
    <w:p w:rsidR="00E03C20" w:rsidRDefault="00E03C20" w:rsidP="0055184E">
      <w:pPr>
        <w:spacing w:line="480" w:lineRule="auto"/>
      </w:pPr>
    </w:p>
    <w:p w:rsidR="00F173FB" w:rsidRPr="00B35419" w:rsidRDefault="00D568D2" w:rsidP="0055184E">
      <w:pPr>
        <w:spacing w:line="480" w:lineRule="auto"/>
      </w:pPr>
      <w:r>
        <w:t xml:space="preserve">The agreement </w:t>
      </w:r>
      <w:r w:rsidR="000F09EE">
        <w:t xml:space="preserve">is the product of good faith, </w:t>
      </w:r>
      <w:r w:rsidR="00A23198">
        <w:t>arms-</w:t>
      </w:r>
      <w:r w:rsidR="000F09EE">
        <w:t xml:space="preserve">length negotiations between the United States and </w:t>
      </w:r>
      <w:r w:rsidR="0007684C">
        <w:t>p</w:t>
      </w:r>
      <w:r w:rsidR="000F09EE">
        <w:t>laintiffs.  It not</w:t>
      </w:r>
      <w:r w:rsidR="000957C3">
        <w:t xml:space="preserve"> only </w:t>
      </w:r>
      <w:r>
        <w:t xml:space="preserve">resolves </w:t>
      </w:r>
      <w:r w:rsidR="000957C3">
        <w:t>litigation over</w:t>
      </w:r>
      <w:r>
        <w:t xml:space="preserve"> the U.S. government’s </w:t>
      </w:r>
      <w:r>
        <w:lastRenderedPageBreak/>
        <w:t>management of hundreds of thousands of individual Indian trust accounts</w:t>
      </w:r>
      <w:r w:rsidR="000957C3">
        <w:t>, but also forges a solution to an ongoing –</w:t>
      </w:r>
      <w:r w:rsidR="00480357">
        <w:t xml:space="preserve"> and worsening</w:t>
      </w:r>
      <w:r w:rsidR="008466EB">
        <w:t xml:space="preserve"> </w:t>
      </w:r>
      <w:r w:rsidR="00480357">
        <w:t xml:space="preserve">– </w:t>
      </w:r>
      <w:r w:rsidR="000957C3">
        <w:t>problem.  This negotiated agreement lays out a path for the responsible management of Indian trust assets in the 21s</w:t>
      </w:r>
      <w:r w:rsidR="006B2DEE">
        <w:t>t cent</w:t>
      </w:r>
      <w:r w:rsidR="00680739">
        <w:t>ury.  The agreement</w:t>
      </w:r>
      <w:r w:rsidR="006B2DEE">
        <w:t xml:space="preserve"> </w:t>
      </w:r>
      <w:r w:rsidR="007B3D87">
        <w:t xml:space="preserve">strengthens the </w:t>
      </w:r>
      <w:r w:rsidR="001A2F60">
        <w:t xml:space="preserve">trust </w:t>
      </w:r>
      <w:r w:rsidR="006B2DEE">
        <w:t>relationship between the United States and our Native American</w:t>
      </w:r>
      <w:r w:rsidR="00A0314E">
        <w:t xml:space="preserve"> citizens</w:t>
      </w:r>
      <w:r w:rsidR="007B3D87">
        <w:t xml:space="preserve">, a relationship that has at times been fraught </w:t>
      </w:r>
      <w:r w:rsidR="000F09EE">
        <w:t xml:space="preserve">with challenges but </w:t>
      </w:r>
      <w:r w:rsidR="00523222">
        <w:t>a relationship</w:t>
      </w:r>
      <w:r w:rsidR="001A2F60">
        <w:t xml:space="preserve"> which the memb</w:t>
      </w:r>
      <w:r w:rsidR="006014BA">
        <w:t xml:space="preserve">ers of this Committee have long </w:t>
      </w:r>
      <w:r w:rsidR="00604704">
        <w:t>sought to develop into one of</w:t>
      </w:r>
      <w:r w:rsidR="003B1A83">
        <w:t xml:space="preserve"> </w:t>
      </w:r>
      <w:r w:rsidR="007B3D87">
        <w:t xml:space="preserve">mutual </w:t>
      </w:r>
      <w:r w:rsidR="00C23F28">
        <w:t>respect and understanding</w:t>
      </w:r>
      <w:r w:rsidR="006B2DEE">
        <w:t xml:space="preserve">.  </w:t>
      </w:r>
      <w:r w:rsidR="00F0565F">
        <w:t xml:space="preserve">In this statement, I will </w:t>
      </w:r>
      <w:r w:rsidR="00D81712">
        <w:t xml:space="preserve">briefly </w:t>
      </w:r>
      <w:r w:rsidR="007F0D36">
        <w:t>describe the compon</w:t>
      </w:r>
      <w:r w:rsidR="00DC0432">
        <w:t>ents of the proposed settlement</w:t>
      </w:r>
      <w:r w:rsidR="00D80DC2">
        <w:t xml:space="preserve"> and related steps being taken by the Department to improve our management of Indian assets.  </w:t>
      </w:r>
      <w:r w:rsidR="00D81712">
        <w:t xml:space="preserve"> I am accompanied today by David J. Hayes, the Deputy Secretary of the Department of the Interior, who led our negotiations on my behalf, and by Hilary Tompkins, the Solicitor for the Department and the first American Indian to hold that post.  Ms. Tompkins also participated actively in the negotiations.  </w:t>
      </w:r>
    </w:p>
    <w:p w:rsidR="0007684C" w:rsidRDefault="0007684C" w:rsidP="0055184E">
      <w:pPr>
        <w:spacing w:line="480" w:lineRule="auto"/>
        <w:rPr>
          <w:b/>
          <w:bCs/>
        </w:rPr>
      </w:pPr>
    </w:p>
    <w:p w:rsidR="006C1C5D" w:rsidRDefault="006C1C5D" w:rsidP="0055184E">
      <w:pPr>
        <w:spacing w:line="480" w:lineRule="auto"/>
        <w:rPr>
          <w:b/>
          <w:bCs/>
        </w:rPr>
      </w:pPr>
      <w:r>
        <w:rPr>
          <w:b/>
          <w:bCs/>
        </w:rPr>
        <w:t>Accounting and Trust Administration Claims Settlement</w:t>
      </w:r>
    </w:p>
    <w:p w:rsidR="006645E7" w:rsidRPr="00571726" w:rsidRDefault="00BB7119" w:rsidP="0055184E">
      <w:pPr>
        <w:spacing w:line="480" w:lineRule="auto"/>
      </w:pPr>
      <w:r>
        <w:t>The first part of this settlement agreement res</w:t>
      </w:r>
      <w:r w:rsidR="007B1C0D">
        <w:t xml:space="preserve">olves claims </w:t>
      </w:r>
      <w:r w:rsidR="0007684C">
        <w:t xml:space="preserve">related to </w:t>
      </w:r>
      <w:r w:rsidR="007B1C0D">
        <w:t xml:space="preserve">the class-action lawsuit brought by the plaintiffs in </w:t>
      </w:r>
      <w:r w:rsidR="00314D37">
        <w:rPr>
          <w:i/>
          <w:iCs/>
        </w:rPr>
        <w:t>Cobell v. Salazar</w:t>
      </w:r>
      <w:r w:rsidR="00217810">
        <w:rPr>
          <w:iCs/>
        </w:rPr>
        <w:t>.</w:t>
      </w:r>
      <w:r w:rsidR="009E6FBE">
        <w:t xml:space="preserve"> </w:t>
      </w:r>
      <w:r w:rsidR="006F19A8">
        <w:t xml:space="preserve"> The case </w:t>
      </w:r>
      <w:r w:rsidR="0007684C">
        <w:t xml:space="preserve">centers </w:t>
      </w:r>
      <w:proofErr w:type="gramStart"/>
      <w:r w:rsidR="0007684C">
        <w:t>around</w:t>
      </w:r>
      <w:proofErr w:type="gramEnd"/>
      <w:r w:rsidR="006F19A8">
        <w:t xml:space="preserve"> the U.S. government’s trust management and accounting of over three hundred thousand individual American Indian trust accounts.  The settlement would resolve </w:t>
      </w:r>
      <w:r w:rsidR="0007684C">
        <w:t xml:space="preserve">not only </w:t>
      </w:r>
      <w:r w:rsidR="006F19A8">
        <w:t>the plaintiffs’ claims for an historical accounting for funds that the government holds in individual American Indian trust</w:t>
      </w:r>
      <w:r w:rsidR="00546A97">
        <w:t xml:space="preserve"> accounts, </w:t>
      </w:r>
      <w:r w:rsidR="0007684C">
        <w:t>but also</w:t>
      </w:r>
      <w:r w:rsidR="00546A97">
        <w:t xml:space="preserve"> all claims associated with the management of these trust funds and the underlying trust assets (consisting of land and resources that are held in trus</w:t>
      </w:r>
      <w:r w:rsidR="000D3BF3">
        <w:t>t for individual Indian member</w:t>
      </w:r>
      <w:r w:rsidR="00546A97">
        <w:t>s</w:t>
      </w:r>
      <w:r w:rsidR="000D3BF3">
        <w:t xml:space="preserve"> of the plaintiff class</w:t>
      </w:r>
      <w:r w:rsidR="00546A97">
        <w:t xml:space="preserve">).  </w:t>
      </w:r>
      <w:r w:rsidR="0061006A">
        <w:t xml:space="preserve">The </w:t>
      </w:r>
      <w:r w:rsidR="0061006A">
        <w:lastRenderedPageBreak/>
        <w:t xml:space="preserve">settlement addresses all existing and potential trust-related claims that the </w:t>
      </w:r>
      <w:r w:rsidR="004064DF">
        <w:t>p</w:t>
      </w:r>
      <w:r w:rsidR="0061006A">
        <w:t>laintiffs may have against the United States</w:t>
      </w:r>
      <w:r w:rsidR="00A23198">
        <w:t xml:space="preserve"> to date</w:t>
      </w:r>
      <w:r w:rsidR="0061006A">
        <w:t xml:space="preserve">, and thus brings final closure to this long and difficult issue. </w:t>
      </w:r>
      <w:r w:rsidR="00571726">
        <w:t xml:space="preserve"> </w:t>
      </w:r>
    </w:p>
    <w:p w:rsidR="00182658" w:rsidRDefault="00182658" w:rsidP="0055184E">
      <w:pPr>
        <w:spacing w:line="480" w:lineRule="auto"/>
      </w:pPr>
    </w:p>
    <w:p w:rsidR="00182658" w:rsidRPr="00314D37" w:rsidRDefault="00D0226F" w:rsidP="0055184E">
      <w:pPr>
        <w:spacing w:line="480" w:lineRule="auto"/>
      </w:pPr>
      <w:r>
        <w:t xml:space="preserve">Under </w:t>
      </w:r>
      <w:r w:rsidR="00EA14A3">
        <w:t xml:space="preserve">the terms of </w:t>
      </w:r>
      <w:r>
        <w:t>the settlement</w:t>
      </w:r>
      <w:r w:rsidR="0061006A">
        <w:t xml:space="preserve"> regarding trust management and accounting issues</w:t>
      </w:r>
      <w:r>
        <w:t xml:space="preserve">, </w:t>
      </w:r>
      <w:r w:rsidR="00A23198">
        <w:t xml:space="preserve">approximately </w:t>
      </w:r>
      <w:r>
        <w:t xml:space="preserve">$1.4 billion </w:t>
      </w:r>
      <w:r w:rsidR="00EA14A3">
        <w:t xml:space="preserve">would be distributed </w:t>
      </w:r>
      <w:r>
        <w:t xml:space="preserve">to the </w:t>
      </w:r>
      <w:r w:rsidR="007B7DE0">
        <w:t xml:space="preserve">class members, which </w:t>
      </w:r>
      <w:r w:rsidR="0061006A">
        <w:t>consist of certain</w:t>
      </w:r>
      <w:r w:rsidR="007B7DE0">
        <w:t xml:space="preserve"> American Indian</w:t>
      </w:r>
      <w:r w:rsidR="0025326E">
        <w:t>s</w:t>
      </w:r>
      <w:r w:rsidR="007B7DE0">
        <w:t xml:space="preserve"> and Alaska</w:t>
      </w:r>
      <w:r w:rsidR="004D75F9">
        <w:t xml:space="preserve"> Native</w:t>
      </w:r>
      <w:r w:rsidR="002C5806">
        <w:t>s</w:t>
      </w:r>
      <w:r w:rsidR="005250A7">
        <w:t>, as defined in the Settlement.</w:t>
      </w:r>
      <w:r w:rsidR="0061006A">
        <w:t xml:space="preserve"> </w:t>
      </w:r>
      <w:r w:rsidR="008466EB">
        <w:t xml:space="preserve"> </w:t>
      </w:r>
      <w:r w:rsidR="0061006A">
        <w:t>Each class member will receive $1000 for their historical accounting claims and may receive additional funds related to trust management claims under a formula set forth in the settlement agreement.</w:t>
      </w:r>
      <w:r w:rsidR="005250A7">
        <w:t xml:space="preserve">  </w:t>
      </w:r>
      <w:r w:rsidR="005F4ACE">
        <w:t xml:space="preserve">By addressing alleged mismanagement as well as accounting-related claims, this settlement fund will </w:t>
      </w:r>
      <w:r w:rsidR="0080430F">
        <w:t xml:space="preserve">fully </w:t>
      </w:r>
      <w:r w:rsidR="005F4ACE">
        <w:t xml:space="preserve">resolve all potential claims by </w:t>
      </w:r>
      <w:r w:rsidR="0080430F">
        <w:t xml:space="preserve">individual class members and avoid all further “look-backs” regarding prior fund accounting and </w:t>
      </w:r>
      <w:r w:rsidR="00BB2C0B">
        <w:t xml:space="preserve">trust </w:t>
      </w:r>
      <w:r w:rsidR="0080430F">
        <w:t>management</w:t>
      </w:r>
      <w:r w:rsidR="00BB2C0B">
        <w:t xml:space="preserve"> issues</w:t>
      </w:r>
      <w:r w:rsidR="0080430F">
        <w:t xml:space="preserve">. </w:t>
      </w:r>
      <w:r w:rsidR="0061006A">
        <w:t xml:space="preserve">  </w:t>
      </w:r>
    </w:p>
    <w:p w:rsidR="006645E7" w:rsidRDefault="006645E7" w:rsidP="0055184E">
      <w:pPr>
        <w:spacing w:line="480" w:lineRule="auto"/>
      </w:pPr>
    </w:p>
    <w:p w:rsidR="00040926" w:rsidRDefault="00A522A4" w:rsidP="0055184E">
      <w:pPr>
        <w:spacing w:line="480" w:lineRule="auto"/>
        <w:rPr>
          <w:b/>
          <w:bCs/>
        </w:rPr>
      </w:pPr>
      <w:r>
        <w:rPr>
          <w:b/>
          <w:bCs/>
        </w:rPr>
        <w:t xml:space="preserve">Correcting Fractionation </w:t>
      </w:r>
    </w:p>
    <w:p w:rsidR="00A522A4" w:rsidRDefault="00A522A4" w:rsidP="0055184E">
      <w:pPr>
        <w:spacing w:line="480" w:lineRule="auto"/>
      </w:pPr>
      <w:r>
        <w:t xml:space="preserve">The second part of this settlement </w:t>
      </w:r>
      <w:r w:rsidR="009A2F62">
        <w:t>con</w:t>
      </w:r>
      <w:r w:rsidR="007304AA">
        <w:t xml:space="preserve">tains provisions </w:t>
      </w:r>
      <w:r w:rsidR="009A2F62">
        <w:t xml:space="preserve">designed to address the </w:t>
      </w:r>
      <w:r w:rsidR="0061006A">
        <w:t>daunting problem called “fractionation.”  This problem consists of</w:t>
      </w:r>
      <w:r w:rsidR="009A2F62">
        <w:t xml:space="preserve"> the continued proliferation of new trust accounts </w:t>
      </w:r>
      <w:r w:rsidR="00E11ABF">
        <w:t>as land interests held in trust for</w:t>
      </w:r>
      <w:r w:rsidR="009A2F62">
        <w:t xml:space="preserve"> individual American Indians continue to subdivide (or “fractionate</w:t>
      </w:r>
      <w:r w:rsidR="00F23DDA">
        <w:t>”</w:t>
      </w:r>
      <w:r w:rsidR="009A2F62">
        <w:t xml:space="preserve">) through inheritance processes.  </w:t>
      </w:r>
      <w:r w:rsidR="00F60376">
        <w:t xml:space="preserve">The </w:t>
      </w:r>
      <w:r w:rsidR="0061006A">
        <w:t>settlement and</w:t>
      </w:r>
      <w:r w:rsidR="00F60376">
        <w:t xml:space="preserve"> legislation provide for a $2 billion fund for the buy-back and consolidation of fractionated land interests.  The land consolidation fund addresses an historic legacy of the General Allotment Act of 1887 (the “Dawes Act”)</w:t>
      </w:r>
      <w:r w:rsidR="007C1A87">
        <w:t xml:space="preserve"> and other related allotment statutes, which divided tribal lands into parcels of between 40 and 160 acres in size, allotted them </w:t>
      </w:r>
      <w:r w:rsidR="007C1A87">
        <w:lastRenderedPageBreak/>
        <w:t>to individual Indians, and sold off remaining unallotted Indian lands.  As original allottees died, their intestate heirs received equal, undivided interests in the allottees’ lands.  Today, it is</w:t>
      </w:r>
      <w:r w:rsidR="000A2020">
        <w:t xml:space="preserve"> not uncommon to have hundreds o</w:t>
      </w:r>
      <w:r w:rsidR="007C1A87">
        <w:t xml:space="preserve">f Indian owners for one parcel.  </w:t>
      </w:r>
    </w:p>
    <w:p w:rsidR="00FA228A" w:rsidRDefault="00FA228A" w:rsidP="0055184E">
      <w:pPr>
        <w:spacing w:line="480" w:lineRule="auto"/>
      </w:pPr>
    </w:p>
    <w:p w:rsidR="00FA228A" w:rsidRDefault="00FA228A" w:rsidP="0055184E">
      <w:pPr>
        <w:spacing w:line="480" w:lineRule="auto"/>
      </w:pPr>
      <w:r>
        <w:t xml:space="preserve">The result of the continued proliferation of thousands of new trust accounts caused by the fractionation of land interests through succeeding generations is that millions of acres of land continue to be held in such </w:t>
      </w:r>
      <w:r w:rsidR="00454209">
        <w:t>reduced</w:t>
      </w:r>
      <w:r>
        <w:t xml:space="preserve"> ownership interests that </w:t>
      </w:r>
      <w:r w:rsidR="00454209">
        <w:t>only a small percentage</w:t>
      </w:r>
      <w:r>
        <w:t xml:space="preserve"> of the individual owners derive a meaningful financial benefit from their ownership. </w:t>
      </w:r>
      <w:r w:rsidR="00FF65F1">
        <w:t xml:space="preserve"> </w:t>
      </w:r>
      <w:r w:rsidR="00D81712">
        <w:t xml:space="preserve">Indeed, as of September 30, 2009, there were 143,663 individual Indian allotments and more than four million fractionated interests.  It has been estimated that these four million interests will expand to eleven million interests by the year 2030 if the </w:t>
      </w:r>
      <w:r w:rsidR="00BB2C0B">
        <w:t>actions contemplated</w:t>
      </w:r>
      <w:r w:rsidR="00D81712">
        <w:t xml:space="preserve"> in this settlement are not taken. </w:t>
      </w:r>
      <w:r w:rsidR="008466EB">
        <w:t xml:space="preserve"> </w:t>
      </w:r>
      <w:r w:rsidR="00FF65F1">
        <w:t xml:space="preserve">This </w:t>
      </w:r>
      <w:r w:rsidR="00454209">
        <w:t>situation creates more harm than good</w:t>
      </w:r>
      <w:r w:rsidR="00FF65F1">
        <w:t xml:space="preserve"> for the individual owners, </w:t>
      </w:r>
      <w:r w:rsidR="00454209">
        <w:t>the</w:t>
      </w:r>
      <w:r w:rsidR="00FF65F1">
        <w:t xml:space="preserve"> tribes and the </w:t>
      </w:r>
      <w:r w:rsidR="00454209">
        <w:t xml:space="preserve">federal </w:t>
      </w:r>
      <w:r w:rsidR="00FF65F1">
        <w:t>government</w:t>
      </w:r>
      <w:r w:rsidR="00454209">
        <w:t>.  In too many instances</w:t>
      </w:r>
      <w:r w:rsidR="00FF65F1">
        <w:t xml:space="preserve">, tribes find economic development efforts stymied by </w:t>
      </w:r>
      <w:r w:rsidR="00454209">
        <w:t xml:space="preserve">their </w:t>
      </w:r>
      <w:r w:rsidR="00FF65F1">
        <w:t>inability to u</w:t>
      </w:r>
      <w:r w:rsidR="00454209">
        <w:t>tilize</w:t>
      </w:r>
      <w:r w:rsidR="00FF65F1">
        <w:t xml:space="preserve"> heavily allotted tracts of land for </w:t>
      </w:r>
      <w:r w:rsidR="00454209">
        <w:t>much needed energy, commercial and agricultural</w:t>
      </w:r>
      <w:r w:rsidR="00FF65F1">
        <w:t xml:space="preserve"> development</w:t>
      </w:r>
      <w:r w:rsidR="00D81712">
        <w:t>.</w:t>
      </w:r>
      <w:r w:rsidR="00FF65F1">
        <w:t xml:space="preserve">   </w:t>
      </w:r>
      <w:r>
        <w:t xml:space="preserve"> </w:t>
      </w:r>
    </w:p>
    <w:p w:rsidR="00217810" w:rsidRPr="008A1307" w:rsidRDefault="00217810" w:rsidP="0055184E">
      <w:pPr>
        <w:spacing w:line="480" w:lineRule="auto"/>
      </w:pPr>
    </w:p>
    <w:p w:rsidR="00AA530B" w:rsidRDefault="00571726" w:rsidP="0055184E">
      <w:pPr>
        <w:spacing w:line="480" w:lineRule="auto"/>
      </w:pPr>
      <w:r>
        <w:t>Under the provisions of the settlement for land consolidation efforts, t</w:t>
      </w:r>
      <w:r w:rsidR="003D342B">
        <w:t>he Department would use a $2 bill</w:t>
      </w:r>
      <w:r w:rsidR="00D96077">
        <w:t>ion fund for the buy-</w:t>
      </w:r>
      <w:r w:rsidR="003D342B">
        <w:t xml:space="preserve">back of fractionated land interests. </w:t>
      </w:r>
      <w:r w:rsidR="009D6309">
        <w:t xml:space="preserve"> </w:t>
      </w:r>
      <w:r w:rsidR="00681BDF">
        <w:t>The Department would use existing programs and law to make these acquisitions</w:t>
      </w:r>
      <w:r w:rsidR="00A0314E">
        <w:t>, with additional authority that would be provided under the proposed settlement legislation for the conveyance of interests held by persons who cannot be located after engaging in extensive efforts to notify them and locate them for a five-year period</w:t>
      </w:r>
      <w:r w:rsidR="00681BDF">
        <w:t xml:space="preserve">.  As part of the class notice process that will notify individuals of this settlement, the Department will </w:t>
      </w:r>
      <w:r w:rsidR="00681BDF">
        <w:lastRenderedPageBreak/>
        <w:t xml:space="preserve">notify individuals of the opportunity to convey their interest.  The $2 billion fund will cover administrative costs to undertake the process of acquiring millions of fractionated interests.  </w:t>
      </w:r>
    </w:p>
    <w:p w:rsidR="00AA530B" w:rsidRDefault="00AA530B" w:rsidP="0055184E">
      <w:pPr>
        <w:spacing w:line="480" w:lineRule="auto"/>
      </w:pPr>
    </w:p>
    <w:p w:rsidR="00F259A6" w:rsidRDefault="00681BDF" w:rsidP="0055184E">
      <w:pPr>
        <w:spacing w:line="480" w:lineRule="auto"/>
      </w:pPr>
      <w:r>
        <w:t>The fund will also cover</w:t>
      </w:r>
      <w:r w:rsidR="00A23198">
        <w:t xml:space="preserve"> up to</w:t>
      </w:r>
      <w:r>
        <w:t xml:space="preserve"> $60 million that will be contributed to an existing </w:t>
      </w:r>
      <w:r w:rsidR="00A0314E">
        <w:t xml:space="preserve">non-profit organization </w:t>
      </w:r>
      <w:r>
        <w:t>for the benefit of educating American Indians and Alaska Natives.</w:t>
      </w:r>
      <w:r w:rsidR="003D342B">
        <w:t xml:space="preserve"> </w:t>
      </w:r>
      <w:r>
        <w:t xml:space="preserve">  </w:t>
      </w:r>
      <w:r w:rsidR="00165A8D">
        <w:t xml:space="preserve">In addition to consolidating and preserving tribal homelands, settlement parties desired to connect with the next generation of Indians.  Under the settlement terms, the sale and release of fractionated interests are directly linked to education – an overall benefit to Indian country. </w:t>
      </w:r>
      <w:r w:rsidR="004B16E5">
        <w:t xml:space="preserve"> </w:t>
      </w:r>
      <w:r>
        <w:t>With each acquisition of an interest, an additional amount will be contributed to the educational Indian scholarship</w:t>
      </w:r>
      <w:r w:rsidR="00F259A6">
        <w:t xml:space="preserve"> based on the value of the interest.  For instance, for an interest worth $500 or more, five (5) percent of the value will be contributed to the scholarship fund. </w:t>
      </w:r>
      <w:r w:rsidR="00165A8D">
        <w:t xml:space="preserve"> </w:t>
      </w:r>
    </w:p>
    <w:p w:rsidR="00F259A6" w:rsidRDefault="00F259A6" w:rsidP="0055184E">
      <w:pPr>
        <w:spacing w:line="480" w:lineRule="auto"/>
      </w:pPr>
    </w:p>
    <w:p w:rsidR="00D9769B" w:rsidRDefault="00F259A6" w:rsidP="0055184E">
      <w:pPr>
        <w:spacing w:line="480" w:lineRule="auto"/>
      </w:pPr>
      <w:r>
        <w:t xml:space="preserve">The </w:t>
      </w:r>
      <w:r w:rsidR="004064DF">
        <w:t xml:space="preserve">settlement implementing </w:t>
      </w:r>
      <w:r>
        <w:t>legislation w</w:t>
      </w:r>
      <w:r w:rsidR="008466EB">
        <w:t>ould</w:t>
      </w:r>
      <w:r>
        <w:t xml:space="preserve"> authorize the $2 billion fund to be established in the US Treasury</w:t>
      </w:r>
      <w:r w:rsidR="004064DF">
        <w:t xml:space="preserve"> and the</w:t>
      </w:r>
      <w:r>
        <w:t xml:space="preserve"> transfer </w:t>
      </w:r>
      <w:r w:rsidR="004064DF">
        <w:t xml:space="preserve">of </w:t>
      </w:r>
      <w:r>
        <w:t xml:space="preserve">a portion </w:t>
      </w:r>
      <w:r w:rsidR="004064DF">
        <w:t xml:space="preserve">of this fund </w:t>
      </w:r>
      <w:r>
        <w:t xml:space="preserve">to the </w:t>
      </w:r>
      <w:r w:rsidR="00A0314E">
        <w:t>non-profit organization</w:t>
      </w:r>
      <w:r>
        <w:t xml:space="preserve"> for Indian education scholarship purposes, and </w:t>
      </w:r>
      <w:r w:rsidR="004064DF">
        <w:t>also</w:t>
      </w:r>
      <w:r>
        <w:t xml:space="preserve"> authorize the conveyance of interests held by persons who cannot be located after</w:t>
      </w:r>
      <w:r w:rsidR="00AC4C74">
        <w:t xml:space="preserve"> </w:t>
      </w:r>
      <w:r>
        <w:t>five</w:t>
      </w:r>
      <w:r w:rsidR="00AC4C74">
        <w:t xml:space="preserve"> </w:t>
      </w:r>
      <w:r>
        <w:t>year</w:t>
      </w:r>
      <w:r w:rsidR="00A0314E">
        <w:t>s, as described above</w:t>
      </w:r>
      <w:r>
        <w:t xml:space="preserve">. </w:t>
      </w:r>
      <w:r w:rsidR="004064DF">
        <w:t xml:space="preserve"> </w:t>
      </w:r>
    </w:p>
    <w:p w:rsidR="00D9769B" w:rsidRDefault="00D9769B" w:rsidP="0055184E">
      <w:pPr>
        <w:spacing w:line="480" w:lineRule="auto"/>
      </w:pPr>
    </w:p>
    <w:p w:rsidR="000A2020" w:rsidRPr="000A2020" w:rsidRDefault="000A2020" w:rsidP="0055184E">
      <w:pPr>
        <w:spacing w:line="480" w:lineRule="auto"/>
        <w:rPr>
          <w:b/>
          <w:bCs/>
        </w:rPr>
      </w:pPr>
      <w:r w:rsidRPr="000A2020">
        <w:rPr>
          <w:b/>
          <w:bCs/>
        </w:rPr>
        <w:t>Long-term Trust Reform</w:t>
      </w:r>
    </w:p>
    <w:p w:rsidR="002F719B" w:rsidRDefault="00E00B20" w:rsidP="0055184E">
      <w:pPr>
        <w:spacing w:line="480" w:lineRule="auto"/>
      </w:pPr>
      <w:r>
        <w:t>To address the future of</w:t>
      </w:r>
      <w:r w:rsidR="000A2020">
        <w:t xml:space="preserve"> Indian trust management, on December 8, 2009,</w:t>
      </w:r>
      <w:r>
        <w:t xml:space="preserve"> I signed a Se</w:t>
      </w:r>
      <w:r w:rsidR="00F71BF0">
        <w:t>cretarial order to establish a five</w:t>
      </w:r>
      <w:r w:rsidR="00A23198">
        <w:t>-</w:t>
      </w:r>
      <w:r>
        <w:t xml:space="preserve">member national commission to evaluate ongoing </w:t>
      </w:r>
      <w:r>
        <w:lastRenderedPageBreak/>
        <w:t>trust reform efforts.  The commission will make recommendations on the future management of individual trust account as</w:t>
      </w:r>
      <w:r w:rsidR="00970BEE">
        <w:t>sets</w:t>
      </w:r>
      <w:r w:rsidR="00BB2C0B">
        <w:t xml:space="preserve"> and</w:t>
      </w:r>
      <w:r w:rsidR="00D7181F">
        <w:t xml:space="preserve"> the need for comprehensive auditing of these operations</w:t>
      </w:r>
      <w:r>
        <w:t xml:space="preserve">.  While the Department has made significant progress in improving and strengthening the management of Indian trust assets, our work is </w:t>
      </w:r>
      <w:r w:rsidR="00D81712">
        <w:t>not</w:t>
      </w:r>
      <w:r>
        <w:t xml:space="preserve"> over. </w:t>
      </w:r>
      <w:r w:rsidR="00970BEE">
        <w:t xml:space="preserve"> The Commission</w:t>
      </w:r>
      <w:r w:rsidR="00D7181F">
        <w:t xml:space="preserve"> will</w:t>
      </w:r>
      <w:r w:rsidR="00D81712">
        <w:t xml:space="preserve"> make recommendations regarding how to improve trust management services on a going-forward basis, </w:t>
      </w:r>
      <w:r w:rsidR="004064DF">
        <w:t>such as</w:t>
      </w:r>
      <w:r w:rsidR="00D81712">
        <w:t xml:space="preserve"> recommendations regarding the appropriate roles of various Interior agencies including the Office of Special Trustee and the Bureau of Indian Affairs. </w:t>
      </w:r>
      <w:r w:rsidR="00D7181F">
        <w:t xml:space="preserve"> </w:t>
      </w:r>
    </w:p>
    <w:p w:rsidR="00D8395D" w:rsidRDefault="00D8395D" w:rsidP="0055184E">
      <w:pPr>
        <w:spacing w:line="480" w:lineRule="auto"/>
      </w:pPr>
    </w:p>
    <w:p w:rsidR="006C1C5D" w:rsidRDefault="006C1C5D" w:rsidP="0055184E">
      <w:pPr>
        <w:spacing w:line="480" w:lineRule="auto"/>
        <w:rPr>
          <w:b/>
          <w:bCs/>
        </w:rPr>
      </w:pPr>
      <w:r>
        <w:rPr>
          <w:b/>
          <w:bCs/>
        </w:rPr>
        <w:t>Conclusion</w:t>
      </w:r>
    </w:p>
    <w:p w:rsidR="006645E7" w:rsidRDefault="007F0E1D" w:rsidP="0055184E">
      <w:pPr>
        <w:spacing w:line="480" w:lineRule="auto"/>
      </w:pPr>
      <w:r>
        <w:t xml:space="preserve">I hope you will </w:t>
      </w:r>
      <w:r w:rsidR="00A17577">
        <w:t xml:space="preserve">help us to secure swift </w:t>
      </w:r>
      <w:r w:rsidR="00AB5854">
        <w:t>enactment of the necessary legislation</w:t>
      </w:r>
      <w:r>
        <w:t xml:space="preserve">.  </w:t>
      </w:r>
      <w:r w:rsidR="001141F2">
        <w:t>A</w:t>
      </w:r>
      <w:r>
        <w:t xml:space="preserve">s </w:t>
      </w:r>
      <w:r w:rsidR="001141F2">
        <w:t>th</w:t>
      </w:r>
      <w:r>
        <w:t>e members of this Committee are aware, t</w:t>
      </w:r>
      <w:r w:rsidR="0078522D">
        <w:t>his</w:t>
      </w:r>
      <w:r w:rsidR="00233649">
        <w:t xml:space="preserve"> settlement is a starting point, not an ending point.  </w:t>
      </w:r>
      <w:r w:rsidR="001A1B70">
        <w:t xml:space="preserve">It is time </w:t>
      </w:r>
      <w:r w:rsidR="00E50C71">
        <w:t>now to move beyon</w:t>
      </w:r>
      <w:r w:rsidR="00A7039F">
        <w:t>d the litigation and to commit to</w:t>
      </w:r>
      <w:r w:rsidR="00E50C71">
        <w:t xml:space="preserve"> </w:t>
      </w:r>
      <w:r w:rsidR="00233649">
        <w:t>working cooperatively</w:t>
      </w:r>
      <w:r w:rsidR="00E50C71">
        <w:t xml:space="preserve"> with American Indian </w:t>
      </w:r>
      <w:r w:rsidR="00414DD8" w:rsidRPr="00414DD8">
        <w:t xml:space="preserve">and Alaska Native </w:t>
      </w:r>
      <w:r w:rsidR="00E50C71">
        <w:t>communit</w:t>
      </w:r>
      <w:r w:rsidR="00414DD8">
        <w:t>ies</w:t>
      </w:r>
      <w:r w:rsidR="00E50C71">
        <w:t xml:space="preserve"> to address education, law enforcement, and economic development challenges.  </w:t>
      </w:r>
      <w:r w:rsidR="006645E7">
        <w:t xml:space="preserve">With this settlement we will turn the </w:t>
      </w:r>
      <w:r w:rsidR="002632CD">
        <w:t xml:space="preserve">page </w:t>
      </w:r>
      <w:r w:rsidR="001141F2">
        <w:t xml:space="preserve">on a dark chapter </w:t>
      </w:r>
      <w:r w:rsidR="002632CD">
        <w:t xml:space="preserve">in Indian </w:t>
      </w:r>
      <w:r w:rsidR="00C1309B">
        <w:t>C</w:t>
      </w:r>
      <w:r w:rsidR="002632CD">
        <w:t xml:space="preserve">ountry and begin to move forward, together, towards our common goals. </w:t>
      </w:r>
    </w:p>
    <w:p w:rsidR="006645E7" w:rsidRDefault="006645E7" w:rsidP="0055184E">
      <w:pPr>
        <w:spacing w:line="480" w:lineRule="auto"/>
      </w:pPr>
    </w:p>
    <w:p w:rsidR="00B44285" w:rsidRDefault="00B44285" w:rsidP="0055184E">
      <w:pPr>
        <w:spacing w:line="480" w:lineRule="auto"/>
      </w:pPr>
      <w:r>
        <w:t xml:space="preserve">Thank you for the opportunity to appear before you today.  I look forward to answering your questions. </w:t>
      </w:r>
    </w:p>
    <w:sectPr w:rsidR="00B44285" w:rsidSect="009A1C99">
      <w:footerReference w:type="even" r:id="rId6"/>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74" w:rsidRDefault="00AC4C74" w:rsidP="009142DF">
      <w:r>
        <w:separator/>
      </w:r>
    </w:p>
  </w:endnote>
  <w:endnote w:type="continuationSeparator" w:id="0">
    <w:p w:rsidR="00AC4C74" w:rsidRDefault="00AC4C74" w:rsidP="00914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74" w:rsidRDefault="000C530C" w:rsidP="000F5FA4">
    <w:pPr>
      <w:pStyle w:val="Footer"/>
      <w:framePr w:wrap="around" w:vAnchor="text" w:hAnchor="margin" w:xAlign="center" w:y="1"/>
      <w:rPr>
        <w:rStyle w:val="PageNumber"/>
      </w:rPr>
    </w:pPr>
    <w:r>
      <w:rPr>
        <w:rStyle w:val="PageNumber"/>
      </w:rPr>
      <w:fldChar w:fldCharType="begin"/>
    </w:r>
    <w:r w:rsidR="00AC4C74">
      <w:rPr>
        <w:rStyle w:val="PageNumber"/>
      </w:rPr>
      <w:instrText xml:space="preserve">PAGE  </w:instrText>
    </w:r>
    <w:r>
      <w:rPr>
        <w:rStyle w:val="PageNumber"/>
      </w:rPr>
      <w:fldChar w:fldCharType="end"/>
    </w:r>
  </w:p>
  <w:p w:rsidR="00AC4C74" w:rsidRDefault="00AC4C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74" w:rsidRDefault="000C530C" w:rsidP="000F5FA4">
    <w:pPr>
      <w:pStyle w:val="Footer"/>
      <w:framePr w:wrap="around" w:vAnchor="text" w:hAnchor="margin" w:xAlign="center" w:y="1"/>
      <w:rPr>
        <w:rStyle w:val="PageNumber"/>
      </w:rPr>
    </w:pPr>
    <w:r>
      <w:rPr>
        <w:rStyle w:val="PageNumber"/>
      </w:rPr>
      <w:fldChar w:fldCharType="begin"/>
    </w:r>
    <w:r w:rsidR="00AC4C74">
      <w:rPr>
        <w:rStyle w:val="PageNumber"/>
      </w:rPr>
      <w:instrText xml:space="preserve">PAGE  </w:instrText>
    </w:r>
    <w:r>
      <w:rPr>
        <w:rStyle w:val="PageNumber"/>
      </w:rPr>
      <w:fldChar w:fldCharType="separate"/>
    </w:r>
    <w:r w:rsidR="00C1309B">
      <w:rPr>
        <w:rStyle w:val="PageNumber"/>
        <w:noProof/>
      </w:rPr>
      <w:t>6</w:t>
    </w:r>
    <w:r>
      <w:rPr>
        <w:rStyle w:val="PageNumber"/>
      </w:rPr>
      <w:fldChar w:fldCharType="end"/>
    </w:r>
  </w:p>
  <w:p w:rsidR="00AC4C74" w:rsidRDefault="00AC4C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74" w:rsidRDefault="00AC4C74" w:rsidP="009142DF">
      <w:r>
        <w:separator/>
      </w:r>
    </w:p>
  </w:footnote>
  <w:footnote w:type="continuationSeparator" w:id="0">
    <w:p w:rsidR="00AC4C74" w:rsidRDefault="00AC4C74" w:rsidP="00914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applyBreakingRules/>
    <w:useFELayout/>
  </w:compat>
  <w:rsids>
    <w:rsidRoot w:val="00D71D1A"/>
    <w:rsid w:val="00012A90"/>
    <w:rsid w:val="00040926"/>
    <w:rsid w:val="00042791"/>
    <w:rsid w:val="00066AF5"/>
    <w:rsid w:val="00070B48"/>
    <w:rsid w:val="0007394A"/>
    <w:rsid w:val="0007684C"/>
    <w:rsid w:val="00086E72"/>
    <w:rsid w:val="000957C3"/>
    <w:rsid w:val="000A2020"/>
    <w:rsid w:val="000B7C28"/>
    <w:rsid w:val="000C530C"/>
    <w:rsid w:val="000D3BF3"/>
    <w:rsid w:val="000D6C3A"/>
    <w:rsid w:val="000E0D80"/>
    <w:rsid w:val="000F0828"/>
    <w:rsid w:val="000F09EE"/>
    <w:rsid w:val="000F2551"/>
    <w:rsid w:val="000F5FA4"/>
    <w:rsid w:val="0010389D"/>
    <w:rsid w:val="00104EA3"/>
    <w:rsid w:val="00111E41"/>
    <w:rsid w:val="00113356"/>
    <w:rsid w:val="001141F2"/>
    <w:rsid w:val="00122169"/>
    <w:rsid w:val="0012375C"/>
    <w:rsid w:val="00133008"/>
    <w:rsid w:val="00143A54"/>
    <w:rsid w:val="00152E55"/>
    <w:rsid w:val="00165A8D"/>
    <w:rsid w:val="001752EF"/>
    <w:rsid w:val="00182658"/>
    <w:rsid w:val="001A1B70"/>
    <w:rsid w:val="001A2F60"/>
    <w:rsid w:val="00217810"/>
    <w:rsid w:val="00233649"/>
    <w:rsid w:val="0023383C"/>
    <w:rsid w:val="00234445"/>
    <w:rsid w:val="00234A1A"/>
    <w:rsid w:val="00250C27"/>
    <w:rsid w:val="002518EE"/>
    <w:rsid w:val="0025326E"/>
    <w:rsid w:val="002632CD"/>
    <w:rsid w:val="002655E6"/>
    <w:rsid w:val="00297FAB"/>
    <w:rsid w:val="002A3FCD"/>
    <w:rsid w:val="002C5806"/>
    <w:rsid w:val="002D14E9"/>
    <w:rsid w:val="002D3E18"/>
    <w:rsid w:val="002F4951"/>
    <w:rsid w:val="002F719B"/>
    <w:rsid w:val="00303430"/>
    <w:rsid w:val="00306765"/>
    <w:rsid w:val="00314D37"/>
    <w:rsid w:val="003246D5"/>
    <w:rsid w:val="00325B43"/>
    <w:rsid w:val="00342DC7"/>
    <w:rsid w:val="00347BD6"/>
    <w:rsid w:val="00357E6C"/>
    <w:rsid w:val="003B1A83"/>
    <w:rsid w:val="003D342B"/>
    <w:rsid w:val="003E35C8"/>
    <w:rsid w:val="003E4DD7"/>
    <w:rsid w:val="00405AE2"/>
    <w:rsid w:val="004064DF"/>
    <w:rsid w:val="00414689"/>
    <w:rsid w:val="00414DD8"/>
    <w:rsid w:val="00441FDA"/>
    <w:rsid w:val="00447A66"/>
    <w:rsid w:val="00454209"/>
    <w:rsid w:val="004643CD"/>
    <w:rsid w:val="00480357"/>
    <w:rsid w:val="004B16E5"/>
    <w:rsid w:val="004B6051"/>
    <w:rsid w:val="004B7ADC"/>
    <w:rsid w:val="004D75F9"/>
    <w:rsid w:val="004E708E"/>
    <w:rsid w:val="00523222"/>
    <w:rsid w:val="005250A7"/>
    <w:rsid w:val="00546A97"/>
    <w:rsid w:val="0055184E"/>
    <w:rsid w:val="00551F87"/>
    <w:rsid w:val="00555A95"/>
    <w:rsid w:val="00571726"/>
    <w:rsid w:val="00582D4C"/>
    <w:rsid w:val="00596C91"/>
    <w:rsid w:val="005A7C96"/>
    <w:rsid w:val="005F4ACE"/>
    <w:rsid w:val="006014BA"/>
    <w:rsid w:val="00604704"/>
    <w:rsid w:val="0061006A"/>
    <w:rsid w:val="00614E8D"/>
    <w:rsid w:val="00644AC1"/>
    <w:rsid w:val="00646489"/>
    <w:rsid w:val="006645E7"/>
    <w:rsid w:val="00673375"/>
    <w:rsid w:val="00680739"/>
    <w:rsid w:val="00681BDF"/>
    <w:rsid w:val="0069020A"/>
    <w:rsid w:val="00693F9C"/>
    <w:rsid w:val="006B09EC"/>
    <w:rsid w:val="006B2DEE"/>
    <w:rsid w:val="006C1C5D"/>
    <w:rsid w:val="006F19A8"/>
    <w:rsid w:val="007016D0"/>
    <w:rsid w:val="00717663"/>
    <w:rsid w:val="00723F74"/>
    <w:rsid w:val="007304AA"/>
    <w:rsid w:val="00766E03"/>
    <w:rsid w:val="00770AC7"/>
    <w:rsid w:val="00772C5F"/>
    <w:rsid w:val="00775A44"/>
    <w:rsid w:val="0078522D"/>
    <w:rsid w:val="00785E87"/>
    <w:rsid w:val="007A0E0B"/>
    <w:rsid w:val="007B1C0D"/>
    <w:rsid w:val="007B3D87"/>
    <w:rsid w:val="007B7DE0"/>
    <w:rsid w:val="007C1A87"/>
    <w:rsid w:val="007F0D36"/>
    <w:rsid w:val="007F0E1D"/>
    <w:rsid w:val="0080430F"/>
    <w:rsid w:val="00820CFB"/>
    <w:rsid w:val="008466EB"/>
    <w:rsid w:val="00853D78"/>
    <w:rsid w:val="008624FA"/>
    <w:rsid w:val="00893CD7"/>
    <w:rsid w:val="008A1307"/>
    <w:rsid w:val="008B4F4E"/>
    <w:rsid w:val="008D73E7"/>
    <w:rsid w:val="00900E7E"/>
    <w:rsid w:val="009142DF"/>
    <w:rsid w:val="009353EF"/>
    <w:rsid w:val="00944FB1"/>
    <w:rsid w:val="00952977"/>
    <w:rsid w:val="00970BEE"/>
    <w:rsid w:val="009828BB"/>
    <w:rsid w:val="0099684A"/>
    <w:rsid w:val="009A1C99"/>
    <w:rsid w:val="009A2F62"/>
    <w:rsid w:val="009C6D58"/>
    <w:rsid w:val="009D6309"/>
    <w:rsid w:val="009E04BD"/>
    <w:rsid w:val="009E6FBE"/>
    <w:rsid w:val="00A0314E"/>
    <w:rsid w:val="00A06147"/>
    <w:rsid w:val="00A1064B"/>
    <w:rsid w:val="00A17577"/>
    <w:rsid w:val="00A20D41"/>
    <w:rsid w:val="00A23198"/>
    <w:rsid w:val="00A36455"/>
    <w:rsid w:val="00A421B9"/>
    <w:rsid w:val="00A522A4"/>
    <w:rsid w:val="00A7039F"/>
    <w:rsid w:val="00AA530B"/>
    <w:rsid w:val="00AB071F"/>
    <w:rsid w:val="00AB5854"/>
    <w:rsid w:val="00AC4C74"/>
    <w:rsid w:val="00AC6FC1"/>
    <w:rsid w:val="00AE475A"/>
    <w:rsid w:val="00AF1494"/>
    <w:rsid w:val="00B02D77"/>
    <w:rsid w:val="00B35419"/>
    <w:rsid w:val="00B44285"/>
    <w:rsid w:val="00BA0E67"/>
    <w:rsid w:val="00BB2C0B"/>
    <w:rsid w:val="00BB7119"/>
    <w:rsid w:val="00BD0355"/>
    <w:rsid w:val="00C11654"/>
    <w:rsid w:val="00C1309B"/>
    <w:rsid w:val="00C23F28"/>
    <w:rsid w:val="00C428D5"/>
    <w:rsid w:val="00C50D0F"/>
    <w:rsid w:val="00C5523C"/>
    <w:rsid w:val="00C555BC"/>
    <w:rsid w:val="00C62FC1"/>
    <w:rsid w:val="00C82859"/>
    <w:rsid w:val="00CB787A"/>
    <w:rsid w:val="00CD214E"/>
    <w:rsid w:val="00CE6C5E"/>
    <w:rsid w:val="00D0226F"/>
    <w:rsid w:val="00D156E4"/>
    <w:rsid w:val="00D16541"/>
    <w:rsid w:val="00D21806"/>
    <w:rsid w:val="00D473E4"/>
    <w:rsid w:val="00D55459"/>
    <w:rsid w:val="00D568D2"/>
    <w:rsid w:val="00D62006"/>
    <w:rsid w:val="00D7181F"/>
    <w:rsid w:val="00D71D1A"/>
    <w:rsid w:val="00D80DC2"/>
    <w:rsid w:val="00D81712"/>
    <w:rsid w:val="00D8395D"/>
    <w:rsid w:val="00D8782E"/>
    <w:rsid w:val="00D96077"/>
    <w:rsid w:val="00D9769B"/>
    <w:rsid w:val="00DC0432"/>
    <w:rsid w:val="00DC7B76"/>
    <w:rsid w:val="00DE70D3"/>
    <w:rsid w:val="00E00B20"/>
    <w:rsid w:val="00E03C20"/>
    <w:rsid w:val="00E11ABF"/>
    <w:rsid w:val="00E1258E"/>
    <w:rsid w:val="00E275C3"/>
    <w:rsid w:val="00E27CEC"/>
    <w:rsid w:val="00E318F9"/>
    <w:rsid w:val="00E330E9"/>
    <w:rsid w:val="00E34C6E"/>
    <w:rsid w:val="00E34D73"/>
    <w:rsid w:val="00E37747"/>
    <w:rsid w:val="00E50C71"/>
    <w:rsid w:val="00E807A2"/>
    <w:rsid w:val="00E92CE0"/>
    <w:rsid w:val="00EA14A3"/>
    <w:rsid w:val="00EA59E3"/>
    <w:rsid w:val="00EC3B9E"/>
    <w:rsid w:val="00ED502B"/>
    <w:rsid w:val="00EE0E76"/>
    <w:rsid w:val="00F0565F"/>
    <w:rsid w:val="00F173FB"/>
    <w:rsid w:val="00F23DDA"/>
    <w:rsid w:val="00F259A6"/>
    <w:rsid w:val="00F2718D"/>
    <w:rsid w:val="00F52865"/>
    <w:rsid w:val="00F56992"/>
    <w:rsid w:val="00F57DEA"/>
    <w:rsid w:val="00F60376"/>
    <w:rsid w:val="00F71BF0"/>
    <w:rsid w:val="00FA228A"/>
    <w:rsid w:val="00FC5ED5"/>
    <w:rsid w:val="00FE04D2"/>
    <w:rsid w:val="00FF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E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1C99"/>
    <w:pPr>
      <w:tabs>
        <w:tab w:val="center" w:pos="4320"/>
        <w:tab w:val="right" w:pos="8640"/>
      </w:tabs>
    </w:pPr>
  </w:style>
  <w:style w:type="character" w:styleId="PageNumber">
    <w:name w:val="page number"/>
    <w:basedOn w:val="DefaultParagraphFont"/>
    <w:rsid w:val="009A1C99"/>
  </w:style>
  <w:style w:type="paragraph" w:styleId="BalloonText">
    <w:name w:val="Balloon Text"/>
    <w:basedOn w:val="Normal"/>
    <w:link w:val="BalloonTextChar"/>
    <w:uiPriority w:val="99"/>
    <w:semiHidden/>
    <w:unhideWhenUsed/>
    <w:rsid w:val="002F719B"/>
    <w:rPr>
      <w:rFonts w:ascii="Tahoma" w:hAnsi="Tahoma" w:cs="Tahoma"/>
      <w:sz w:val="16"/>
      <w:szCs w:val="16"/>
    </w:rPr>
  </w:style>
  <w:style w:type="character" w:customStyle="1" w:styleId="BalloonTextChar">
    <w:name w:val="Balloon Text Char"/>
    <w:basedOn w:val="DefaultParagraphFont"/>
    <w:link w:val="BalloonText"/>
    <w:uiPriority w:val="99"/>
    <w:semiHidden/>
    <w:rsid w:val="002F719B"/>
    <w:rPr>
      <w:rFonts w:ascii="Tahoma" w:hAnsi="Tahoma" w:cs="Tahoma"/>
      <w:sz w:val="16"/>
      <w:szCs w:val="16"/>
      <w:lang w:eastAsia="zh-CN"/>
    </w:rPr>
  </w:style>
  <w:style w:type="paragraph" w:styleId="Header">
    <w:name w:val="header"/>
    <w:basedOn w:val="Normal"/>
    <w:link w:val="HeaderChar"/>
    <w:uiPriority w:val="99"/>
    <w:semiHidden/>
    <w:unhideWhenUsed/>
    <w:rsid w:val="00D81712"/>
    <w:pPr>
      <w:tabs>
        <w:tab w:val="center" w:pos="4680"/>
        <w:tab w:val="right" w:pos="9360"/>
      </w:tabs>
    </w:pPr>
  </w:style>
  <w:style w:type="character" w:customStyle="1" w:styleId="HeaderChar">
    <w:name w:val="Header Char"/>
    <w:basedOn w:val="DefaultParagraphFont"/>
    <w:link w:val="Header"/>
    <w:uiPriority w:val="99"/>
    <w:semiHidden/>
    <w:rsid w:val="00D81712"/>
    <w:rPr>
      <w:sz w:val="24"/>
      <w:szCs w:val="24"/>
      <w:lang w:eastAsia="zh-CN"/>
    </w:rPr>
  </w:style>
  <w:style w:type="character" w:styleId="CommentReference">
    <w:name w:val="annotation reference"/>
    <w:basedOn w:val="DefaultParagraphFont"/>
    <w:uiPriority w:val="99"/>
    <w:semiHidden/>
    <w:unhideWhenUsed/>
    <w:rsid w:val="00325B43"/>
    <w:rPr>
      <w:sz w:val="16"/>
      <w:szCs w:val="16"/>
    </w:rPr>
  </w:style>
  <w:style w:type="paragraph" w:styleId="CommentText">
    <w:name w:val="annotation text"/>
    <w:basedOn w:val="Normal"/>
    <w:link w:val="CommentTextChar"/>
    <w:uiPriority w:val="99"/>
    <w:semiHidden/>
    <w:unhideWhenUsed/>
    <w:rsid w:val="00325B43"/>
    <w:rPr>
      <w:sz w:val="20"/>
      <w:szCs w:val="20"/>
    </w:rPr>
  </w:style>
  <w:style w:type="character" w:customStyle="1" w:styleId="CommentTextChar">
    <w:name w:val="Comment Text Char"/>
    <w:basedOn w:val="DefaultParagraphFont"/>
    <w:link w:val="CommentText"/>
    <w:uiPriority w:val="99"/>
    <w:semiHidden/>
    <w:rsid w:val="00325B43"/>
    <w:rPr>
      <w:lang w:eastAsia="zh-CN"/>
    </w:rPr>
  </w:style>
  <w:style w:type="paragraph" w:styleId="CommentSubject">
    <w:name w:val="annotation subject"/>
    <w:basedOn w:val="CommentText"/>
    <w:next w:val="CommentText"/>
    <w:link w:val="CommentSubjectChar"/>
    <w:uiPriority w:val="99"/>
    <w:semiHidden/>
    <w:unhideWhenUsed/>
    <w:rsid w:val="00325B43"/>
    <w:rPr>
      <w:b/>
      <w:bCs/>
    </w:rPr>
  </w:style>
  <w:style w:type="character" w:customStyle="1" w:styleId="CommentSubjectChar">
    <w:name w:val="Comment Subject Char"/>
    <w:basedOn w:val="CommentTextChar"/>
    <w:link w:val="CommentSubject"/>
    <w:uiPriority w:val="99"/>
    <w:semiHidden/>
    <w:rsid w:val="00325B43"/>
    <w:rPr>
      <w:b/>
      <w:bCs/>
    </w:rPr>
  </w:style>
  <w:style w:type="paragraph" w:styleId="PlainText">
    <w:name w:val="Plain Text"/>
    <w:basedOn w:val="Normal"/>
    <w:link w:val="PlainTextChar"/>
    <w:uiPriority w:val="99"/>
    <w:semiHidden/>
    <w:unhideWhenUsed/>
    <w:rsid w:val="00A20D41"/>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20D41"/>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469834266">
      <w:bodyDiv w:val="1"/>
      <w:marLeft w:val="0"/>
      <w:marRight w:val="0"/>
      <w:marTop w:val="0"/>
      <w:marBottom w:val="0"/>
      <w:divBdr>
        <w:top w:val="none" w:sz="0" w:space="0" w:color="auto"/>
        <w:left w:val="none" w:sz="0" w:space="0" w:color="auto"/>
        <w:bottom w:val="none" w:sz="0" w:space="0" w:color="auto"/>
        <w:right w:val="none" w:sz="0" w:space="0" w:color="auto"/>
      </w:divBdr>
    </w:div>
    <w:div w:id="699163487">
      <w:bodyDiv w:val="1"/>
      <w:marLeft w:val="0"/>
      <w:marRight w:val="0"/>
      <w:marTop w:val="0"/>
      <w:marBottom w:val="0"/>
      <w:divBdr>
        <w:top w:val="none" w:sz="0" w:space="0" w:color="auto"/>
        <w:left w:val="none" w:sz="0" w:space="0" w:color="auto"/>
        <w:bottom w:val="none" w:sz="0" w:space="0" w:color="auto"/>
        <w:right w:val="none" w:sz="0" w:space="0" w:color="auto"/>
      </w:divBdr>
    </w:div>
    <w:div w:id="10360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STATEMENT OF KEN SALAZAR</vt:lpstr>
    </vt:vector>
  </TitlesOfParts>
  <Company>HL</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KEN SALAZAR</dc:title>
  <dc:subject/>
  <dc:creator>bkswolitz</dc:creator>
  <cp:keywords/>
  <cp:lastModifiedBy>Bella KS Wolitz</cp:lastModifiedBy>
  <cp:revision>4</cp:revision>
  <cp:lastPrinted>2009-12-16T20:19:00Z</cp:lastPrinted>
  <dcterms:created xsi:type="dcterms:W3CDTF">2009-12-16T21:36:00Z</dcterms:created>
  <dcterms:modified xsi:type="dcterms:W3CDTF">2009-12-16T21:38:00Z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