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F7" w:rsidRDefault="00561BF7" w:rsidP="00332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561BF7">
        <w:rPr>
          <w:b/>
          <w:bCs/>
          <w:noProof/>
          <w:color w:val="000000"/>
        </w:rPr>
        <w:drawing>
          <wp:inline distT="0" distB="0" distL="0" distR="0">
            <wp:extent cx="5486400" cy="1003300"/>
            <wp:effectExtent l="25400" t="0" r="0" b="0"/>
            <wp:docPr id="1" name="Picture 1" descr="NIG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A_Header"/>
                    <pic:cNvPicPr>
                      <a:picLocks noChangeAspect="1" noChangeArrowheads="1"/>
                    </pic:cNvPicPr>
                  </pic:nvPicPr>
                  <pic:blipFill>
                    <a:blip r:embed="rId8"/>
                    <a:srcRect/>
                    <a:stretch>
                      <a:fillRect/>
                    </a:stretch>
                  </pic:blipFill>
                  <pic:spPr bwMode="auto">
                    <a:xfrm>
                      <a:off x="0" y="0"/>
                      <a:ext cx="5486400" cy="1003300"/>
                    </a:xfrm>
                    <a:prstGeom prst="rect">
                      <a:avLst/>
                    </a:prstGeom>
                    <a:noFill/>
                    <a:ln w="9525">
                      <a:noFill/>
                      <a:miter lim="800000"/>
                      <a:headEnd/>
                      <a:tailEnd/>
                    </a:ln>
                  </pic:spPr>
                </pic:pic>
              </a:graphicData>
            </a:graphic>
          </wp:inline>
        </w:drawing>
      </w:r>
    </w:p>
    <w:p w:rsidR="00561BF7" w:rsidRDefault="00561BF7" w:rsidP="006B5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rsidR="006B5D8A" w:rsidRDefault="00602BD3" w:rsidP="006B5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61176">
        <w:rPr>
          <w:b/>
          <w:bCs/>
          <w:color w:val="000000"/>
        </w:rPr>
        <w:t xml:space="preserve">TESTIMONY OF ERNEST STEVENS, JR., CHAIRMAN, </w:t>
      </w:r>
    </w:p>
    <w:p w:rsidR="006B5D8A" w:rsidRDefault="00602BD3" w:rsidP="006B5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61176">
        <w:rPr>
          <w:b/>
          <w:bCs/>
          <w:color w:val="000000"/>
        </w:rPr>
        <w:t xml:space="preserve">NATIONAL INDIAN GAMING ASSOCIATION BEFORE </w:t>
      </w:r>
    </w:p>
    <w:p w:rsidR="00602BD3" w:rsidRPr="00461176" w:rsidRDefault="00602BD3" w:rsidP="006B5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61176">
        <w:rPr>
          <w:b/>
          <w:bCs/>
          <w:color w:val="000000"/>
        </w:rPr>
        <w:t>THE SENATE COMMITTEE ON INDIAN AFFAIRS</w:t>
      </w:r>
    </w:p>
    <w:p w:rsidR="00602BD3" w:rsidRPr="00461176" w:rsidRDefault="00602BD3" w:rsidP="00C555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rsidR="00602BD3" w:rsidRPr="00461176" w:rsidRDefault="00791722" w:rsidP="006B5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Pr>
          <w:b/>
          <w:bCs/>
          <w:color w:val="000000"/>
        </w:rPr>
        <w:t>JULY 28</w:t>
      </w:r>
      <w:r w:rsidR="00190C30">
        <w:rPr>
          <w:b/>
          <w:bCs/>
          <w:color w:val="000000"/>
        </w:rPr>
        <w:t>, 2011</w:t>
      </w:r>
    </w:p>
    <w:p w:rsidR="004477C1"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rsidR="004477C1"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461176">
        <w:rPr>
          <w:b/>
          <w:bCs/>
          <w:color w:val="000000"/>
        </w:rPr>
        <w:t>INTRODUCTION</w:t>
      </w:r>
    </w:p>
    <w:p w:rsidR="004477C1"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4477C1"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Good </w:t>
      </w:r>
      <w:r w:rsidR="00BB7CB8">
        <w:rPr>
          <w:color w:val="000000"/>
        </w:rPr>
        <w:t>afternoon</w:t>
      </w:r>
      <w:r w:rsidRPr="00461176">
        <w:rPr>
          <w:color w:val="000000"/>
        </w:rPr>
        <w:t xml:space="preserve"> Chairman </w:t>
      </w:r>
      <w:r w:rsidR="00BB7CB8">
        <w:rPr>
          <w:color w:val="000000"/>
        </w:rPr>
        <w:t>Akaka</w:t>
      </w:r>
      <w:r w:rsidRPr="00461176">
        <w:rPr>
          <w:color w:val="000000"/>
        </w:rPr>
        <w:t xml:space="preserve">, Vice Chairman Barrasso, and Members of the Committee. My name </w:t>
      </w:r>
      <w:r w:rsidR="00602BD3" w:rsidRPr="00461176">
        <w:rPr>
          <w:color w:val="000000"/>
        </w:rPr>
        <w:t>is Ernest Stevens, Jr.,</w:t>
      </w:r>
      <w:r w:rsidRPr="00461176">
        <w:rPr>
          <w:color w:val="000000"/>
        </w:rPr>
        <w:t xml:space="preserve"> Chairman of the National Indian Gaming Association</w:t>
      </w:r>
      <w:r w:rsidR="00097EA2">
        <w:rPr>
          <w:color w:val="000000"/>
        </w:rPr>
        <w:t xml:space="preserve"> (NIGA)</w:t>
      </w:r>
      <w:r w:rsidRPr="00461176">
        <w:rPr>
          <w:color w:val="000000"/>
        </w:rPr>
        <w:t xml:space="preserve"> and a member of the Oneida </w:t>
      </w:r>
      <w:r w:rsidR="00561BF7">
        <w:rPr>
          <w:color w:val="000000"/>
        </w:rPr>
        <w:t>Nation</w:t>
      </w:r>
      <w:r w:rsidRPr="00461176">
        <w:rPr>
          <w:color w:val="000000"/>
        </w:rPr>
        <w:t xml:space="preserve"> of Wisconsin. </w:t>
      </w:r>
      <w:r w:rsidR="00097EA2">
        <w:rPr>
          <w:color w:val="000000"/>
        </w:rPr>
        <w:t>NIGA</w:t>
      </w:r>
      <w:r w:rsidRPr="00461176">
        <w:rPr>
          <w:color w:val="000000"/>
        </w:rPr>
        <w:t xml:space="preserve"> is an intertribal association of 1</w:t>
      </w:r>
      <w:r w:rsidR="00561BF7">
        <w:rPr>
          <w:color w:val="000000"/>
        </w:rPr>
        <w:t>84 federally recognized Indian t</w:t>
      </w:r>
      <w:r w:rsidRPr="00461176">
        <w:rPr>
          <w:color w:val="000000"/>
        </w:rPr>
        <w:t xml:space="preserve">ribes united </w:t>
      </w:r>
      <w:r w:rsidR="001537B1" w:rsidRPr="00461176">
        <w:rPr>
          <w:color w:val="000000"/>
        </w:rPr>
        <w:t>behind</w:t>
      </w:r>
      <w:r w:rsidRPr="00461176">
        <w:rPr>
          <w:color w:val="000000"/>
        </w:rPr>
        <w:t xml:space="preserve"> the mission of protecting tribal sovereignty and </w:t>
      </w:r>
      <w:r w:rsidR="00561BF7">
        <w:rPr>
          <w:color w:val="000000"/>
        </w:rPr>
        <w:t>preserving the ability of t</w:t>
      </w:r>
      <w:r w:rsidRPr="00461176">
        <w:rPr>
          <w:color w:val="000000"/>
        </w:rPr>
        <w:t xml:space="preserve">ribes to attain economic self-sufficiency through gaming and other economic endeavors. </w:t>
      </w:r>
      <w:r w:rsidR="00602BD3" w:rsidRPr="00461176">
        <w:rPr>
          <w:color w:val="000000"/>
        </w:rPr>
        <w:t xml:space="preserve"> I want to thank the Committee for this opportunity to </w:t>
      </w:r>
      <w:r w:rsidR="001537B1" w:rsidRPr="00461176">
        <w:rPr>
          <w:color w:val="000000"/>
        </w:rPr>
        <w:t>provide our views on</w:t>
      </w:r>
      <w:r w:rsidR="00602BD3" w:rsidRPr="00461176">
        <w:rPr>
          <w:color w:val="000000"/>
        </w:rPr>
        <w:t xml:space="preserve"> the </w:t>
      </w:r>
      <w:r w:rsidR="00C5559D">
        <w:rPr>
          <w:color w:val="000000"/>
        </w:rPr>
        <w:t xml:space="preserve">role of tribal governments and the National Indian Gaming Commission </w:t>
      </w:r>
      <w:r w:rsidR="00097EA2">
        <w:rPr>
          <w:color w:val="000000"/>
        </w:rPr>
        <w:t xml:space="preserve">(NIGC) </w:t>
      </w:r>
      <w:r w:rsidR="00C5559D">
        <w:rPr>
          <w:color w:val="000000"/>
        </w:rPr>
        <w:t>as regulators of Indian gaming operations</w:t>
      </w:r>
      <w:r w:rsidR="0089036C" w:rsidRPr="00461176">
        <w:rPr>
          <w:color w:val="000000"/>
        </w:rPr>
        <w:t xml:space="preserve">.  </w:t>
      </w:r>
    </w:p>
    <w:p w:rsidR="004477C1"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rsidR="004477C1" w:rsidRPr="00461176" w:rsidRDefault="00135CDA"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461176">
        <w:rPr>
          <w:b/>
          <w:bCs/>
          <w:color w:val="000000"/>
        </w:rPr>
        <w:t>INDIAN TRIBES AS GOVERNMENTS</w:t>
      </w:r>
    </w:p>
    <w:p w:rsidR="004477C1" w:rsidRPr="00461176" w:rsidRDefault="004477C1"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9036C" w:rsidRPr="00461176" w:rsidRDefault="00561BF7"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I testifi</w:t>
      </w:r>
      <w:r w:rsidR="00703187">
        <w:rPr>
          <w:color w:val="000000"/>
        </w:rPr>
        <w:t>ed one year ago today before this</w:t>
      </w:r>
      <w:r>
        <w:rPr>
          <w:color w:val="000000"/>
        </w:rPr>
        <w:t xml:space="preserve"> Committee about the general state of Indian gaming.  </w:t>
      </w:r>
      <w:r w:rsidR="00703187">
        <w:rPr>
          <w:color w:val="000000"/>
        </w:rPr>
        <w:t xml:space="preserve">As </w:t>
      </w:r>
      <w:r w:rsidR="009139D4">
        <w:rPr>
          <w:color w:val="000000"/>
        </w:rPr>
        <w:t xml:space="preserve">I did </w:t>
      </w:r>
      <w:r w:rsidR="00703187">
        <w:rPr>
          <w:color w:val="000000"/>
        </w:rPr>
        <w:t xml:space="preserve">then, </w:t>
      </w:r>
      <w:r>
        <w:rPr>
          <w:color w:val="000000"/>
        </w:rPr>
        <w:t xml:space="preserve">I again would like to first </w:t>
      </w:r>
      <w:r w:rsidR="001537B1" w:rsidRPr="00461176">
        <w:rPr>
          <w:color w:val="000000"/>
        </w:rPr>
        <w:t>place</w:t>
      </w:r>
      <w:r w:rsidR="0089036C" w:rsidRPr="00461176">
        <w:rPr>
          <w:color w:val="000000"/>
        </w:rPr>
        <w:t xml:space="preserve"> Indian gaming</w:t>
      </w:r>
      <w:r w:rsidR="001537B1" w:rsidRPr="00461176">
        <w:rPr>
          <w:color w:val="000000"/>
        </w:rPr>
        <w:t xml:space="preserve"> in proper context, </w:t>
      </w:r>
      <w:r>
        <w:rPr>
          <w:color w:val="000000"/>
        </w:rPr>
        <w:t>by briefly providing some</w:t>
      </w:r>
      <w:r w:rsidR="0089036C" w:rsidRPr="00461176">
        <w:rPr>
          <w:color w:val="000000"/>
        </w:rPr>
        <w:t xml:space="preserve"> background </w:t>
      </w:r>
      <w:r>
        <w:rPr>
          <w:color w:val="000000"/>
        </w:rPr>
        <w:t xml:space="preserve">about the </w:t>
      </w:r>
      <w:r w:rsidR="00703187">
        <w:rPr>
          <w:color w:val="000000"/>
        </w:rPr>
        <w:t xml:space="preserve">Constitutional </w:t>
      </w:r>
      <w:r>
        <w:rPr>
          <w:color w:val="000000"/>
        </w:rPr>
        <w:t>status of Indian t</w:t>
      </w:r>
      <w:r w:rsidR="0089036C" w:rsidRPr="00461176">
        <w:rPr>
          <w:color w:val="000000"/>
        </w:rPr>
        <w:t>ribes in the Unite</w:t>
      </w:r>
      <w:r>
        <w:rPr>
          <w:color w:val="000000"/>
        </w:rPr>
        <w:t>d States</w:t>
      </w:r>
      <w:r w:rsidR="00703187">
        <w:rPr>
          <w:color w:val="000000"/>
        </w:rPr>
        <w:t>, and discuss briefly what Indian gaming means to Indian country</w:t>
      </w:r>
      <w:r w:rsidR="00406484" w:rsidRPr="00461176">
        <w:rPr>
          <w:color w:val="000000"/>
        </w:rPr>
        <w:t xml:space="preserve">. </w:t>
      </w:r>
    </w:p>
    <w:p w:rsidR="0089036C" w:rsidRPr="00461176" w:rsidRDefault="0089036C"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6E5D2B" w:rsidRPr="00461176" w:rsidRDefault="00561BF7"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As this Committee well knows, b</w:t>
      </w:r>
      <w:r w:rsidR="00CF30FA" w:rsidRPr="00461176">
        <w:rPr>
          <w:color w:val="000000"/>
        </w:rPr>
        <w:t>efore contact with European Nations</w:t>
      </w:r>
      <w:r w:rsidR="004477C1" w:rsidRPr="00461176">
        <w:rPr>
          <w:color w:val="000000"/>
        </w:rPr>
        <w:t>, Indian tr</w:t>
      </w:r>
      <w:r w:rsidR="00CF30FA" w:rsidRPr="00461176">
        <w:rPr>
          <w:color w:val="000000"/>
        </w:rPr>
        <w:t>ibes were independent self-governing entities</w:t>
      </w:r>
      <w:r w:rsidR="004477C1" w:rsidRPr="00461176">
        <w:rPr>
          <w:color w:val="000000"/>
        </w:rPr>
        <w:t xml:space="preserve"> vested with full authority </w:t>
      </w:r>
      <w:r w:rsidR="00CF30FA" w:rsidRPr="00461176">
        <w:rPr>
          <w:color w:val="000000"/>
        </w:rPr>
        <w:t xml:space="preserve">and control </w:t>
      </w:r>
      <w:r w:rsidR="004477C1" w:rsidRPr="00461176">
        <w:rPr>
          <w:color w:val="000000"/>
        </w:rPr>
        <w:t>over their lands</w:t>
      </w:r>
      <w:r w:rsidR="00CF30FA" w:rsidRPr="00461176">
        <w:rPr>
          <w:color w:val="000000"/>
        </w:rPr>
        <w:t xml:space="preserve">, citizens, and visitors to </w:t>
      </w:r>
      <w:r w:rsidR="00DA47DD">
        <w:rPr>
          <w:color w:val="000000"/>
        </w:rPr>
        <w:t>their</w:t>
      </w:r>
      <w:r w:rsidR="00CF30FA" w:rsidRPr="00461176">
        <w:rPr>
          <w:color w:val="000000"/>
        </w:rPr>
        <w:t xml:space="preserve"> lands</w:t>
      </w:r>
      <w:r w:rsidR="004477C1" w:rsidRPr="00461176">
        <w:rPr>
          <w:color w:val="000000"/>
        </w:rPr>
        <w:t xml:space="preserve">. </w:t>
      </w:r>
      <w:r w:rsidR="00CF30FA" w:rsidRPr="00461176">
        <w:rPr>
          <w:color w:val="000000"/>
        </w:rPr>
        <w:t>The N</w:t>
      </w:r>
      <w:r w:rsidR="004477C1" w:rsidRPr="00461176">
        <w:rPr>
          <w:color w:val="000000"/>
        </w:rPr>
        <w:t xml:space="preserve">ations </w:t>
      </w:r>
      <w:r w:rsidR="00406484" w:rsidRPr="00461176">
        <w:rPr>
          <w:color w:val="000000"/>
        </w:rPr>
        <w:t xml:space="preserve">of </w:t>
      </w:r>
      <w:r w:rsidR="00CF30FA" w:rsidRPr="00461176">
        <w:rPr>
          <w:color w:val="000000"/>
        </w:rPr>
        <w:t xml:space="preserve">England, France, and Spain all </w:t>
      </w:r>
      <w:r w:rsidR="004477C1" w:rsidRPr="00461176">
        <w:rPr>
          <w:color w:val="000000"/>
        </w:rPr>
        <w:t xml:space="preserve">acknowledged </w:t>
      </w:r>
      <w:r w:rsidR="00703187">
        <w:rPr>
          <w:color w:val="000000"/>
        </w:rPr>
        <w:t>t</w:t>
      </w:r>
      <w:r w:rsidR="00CF30FA" w:rsidRPr="00461176">
        <w:rPr>
          <w:color w:val="000000"/>
        </w:rPr>
        <w:t>ribes</w:t>
      </w:r>
      <w:r w:rsidR="004477C1" w:rsidRPr="00461176">
        <w:rPr>
          <w:color w:val="000000"/>
        </w:rPr>
        <w:t xml:space="preserve"> as sovereig</w:t>
      </w:r>
      <w:r w:rsidR="006E5D2B" w:rsidRPr="00461176">
        <w:rPr>
          <w:color w:val="000000"/>
        </w:rPr>
        <w:t xml:space="preserve">ns and entered into treaties </w:t>
      </w:r>
      <w:r w:rsidR="00703187">
        <w:rPr>
          <w:color w:val="000000"/>
        </w:rPr>
        <w:t>with various t</w:t>
      </w:r>
      <w:r w:rsidR="00406484" w:rsidRPr="00461176">
        <w:rPr>
          <w:color w:val="000000"/>
        </w:rPr>
        <w:t xml:space="preserve">ribes </w:t>
      </w:r>
      <w:r w:rsidR="006E5D2B" w:rsidRPr="00461176">
        <w:rPr>
          <w:color w:val="000000"/>
        </w:rPr>
        <w:t>to establish commerce and trade agreements</w:t>
      </w:r>
      <w:r w:rsidR="004477C1" w:rsidRPr="00461176">
        <w:rPr>
          <w:color w:val="000000"/>
        </w:rPr>
        <w:t xml:space="preserve">, </w:t>
      </w:r>
      <w:r w:rsidR="006E5D2B" w:rsidRPr="00461176">
        <w:rPr>
          <w:color w:val="000000"/>
        </w:rPr>
        <w:t xml:space="preserve">form wartime alliances, </w:t>
      </w:r>
      <w:r w:rsidR="004477C1" w:rsidRPr="00461176">
        <w:rPr>
          <w:color w:val="000000"/>
        </w:rPr>
        <w:t xml:space="preserve">and preserve the peace. </w:t>
      </w:r>
      <w:r w:rsidR="006E5D2B" w:rsidRPr="00461176">
        <w:rPr>
          <w:color w:val="000000"/>
        </w:rPr>
        <w:t xml:space="preserve"> </w:t>
      </w:r>
    </w:p>
    <w:p w:rsidR="006E5D2B" w:rsidRPr="00461176" w:rsidRDefault="006E5D2B" w:rsidP="0044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55F09" w:rsidRPr="00527D99" w:rsidRDefault="001537B1" w:rsidP="00703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The</w:t>
      </w:r>
      <w:r w:rsidR="004477C1" w:rsidRPr="00461176">
        <w:rPr>
          <w:color w:val="000000"/>
        </w:rPr>
        <w:t xml:space="preserve"> United States Constitution specifically acknowledges the importance of trade with tribal governments in the Commerce Clause, which states that “Congress shall have power to ... regulate commerce with foreign nations, and among the several states, and with </w:t>
      </w:r>
      <w:r w:rsidR="004477C1" w:rsidRPr="00461176">
        <w:rPr>
          <w:iCs/>
          <w:color w:val="000000"/>
        </w:rPr>
        <w:t>the Indian tribes</w:t>
      </w:r>
      <w:r w:rsidR="004477C1" w:rsidRPr="00461176">
        <w:rPr>
          <w:i/>
          <w:iCs/>
          <w:color w:val="000000"/>
        </w:rPr>
        <w:t>.</w:t>
      </w:r>
      <w:r w:rsidR="00527D99">
        <w:rPr>
          <w:color w:val="000000"/>
        </w:rPr>
        <w:t>” U.S. Constitution, Article I, section 8, clause</w:t>
      </w:r>
      <w:r w:rsidR="004477C1" w:rsidRPr="00461176">
        <w:rPr>
          <w:color w:val="000000"/>
        </w:rPr>
        <w:t xml:space="preserve"> 3. </w:t>
      </w:r>
      <w:r w:rsidRPr="00461176">
        <w:rPr>
          <w:color w:val="000000"/>
        </w:rPr>
        <w:t xml:space="preserve"> </w:t>
      </w:r>
      <w:r w:rsidR="00703187">
        <w:rPr>
          <w:color w:val="000000"/>
        </w:rPr>
        <w:t>The</w:t>
      </w:r>
      <w:r w:rsidR="00703187" w:rsidRPr="00461176">
        <w:rPr>
          <w:color w:val="000000"/>
        </w:rPr>
        <w:t xml:space="preserve"> United States </w:t>
      </w:r>
      <w:r w:rsidR="00703187">
        <w:rPr>
          <w:color w:val="000000"/>
        </w:rPr>
        <w:t>also entered into</w:t>
      </w:r>
      <w:r w:rsidR="00527D99">
        <w:rPr>
          <w:color w:val="000000"/>
        </w:rPr>
        <w:t xml:space="preserve"> hundreds of</w:t>
      </w:r>
      <w:r w:rsidR="00703187" w:rsidRPr="00461176">
        <w:rPr>
          <w:color w:val="000000"/>
        </w:rPr>
        <w:t xml:space="preserve"> treaties </w:t>
      </w:r>
      <w:r w:rsidR="00703187">
        <w:rPr>
          <w:color w:val="000000"/>
        </w:rPr>
        <w:t>with tribal governments</w:t>
      </w:r>
      <w:r w:rsidR="00703187" w:rsidRPr="00461176">
        <w:rPr>
          <w:color w:val="000000"/>
        </w:rPr>
        <w:t xml:space="preserve">.  </w:t>
      </w:r>
      <w:r w:rsidR="00383534">
        <w:t>T</w:t>
      </w:r>
      <w:r w:rsidR="00527D99">
        <w:t>hrough these t</w:t>
      </w:r>
      <w:r w:rsidR="00383534">
        <w:t>reaties</w:t>
      </w:r>
      <w:r w:rsidR="00527D99">
        <w:t>, tribes ceded</w:t>
      </w:r>
      <w:r w:rsidR="00383534">
        <w:t xml:space="preserve"> hundreds of millions of acres of tribal homelands to help build this great Nation.  In return, the United States </w:t>
      </w:r>
      <w:r w:rsidR="00527D99">
        <w:t xml:space="preserve">promised to provide for the education, health, </w:t>
      </w:r>
      <w:r w:rsidR="00527D99" w:rsidRPr="00527D99">
        <w:t xml:space="preserve">public safety and general welfare of Indian people.  </w:t>
      </w:r>
      <w:r w:rsidR="002954D3">
        <w:t xml:space="preserve">The U.S. Supreme Court later </w:t>
      </w:r>
      <w:r w:rsidR="002954D3">
        <w:lastRenderedPageBreak/>
        <w:t>acknowledged that this course of dealing with tribal governments established a trust relationship between tribe</w:t>
      </w:r>
      <w:r w:rsidR="00097EA2">
        <w:t>s and the United States, with</w:t>
      </w:r>
      <w:r w:rsidR="002954D3">
        <w:t xml:space="preserve"> accompanying obliga</w:t>
      </w:r>
      <w:r w:rsidR="003366B6">
        <w:t>tion</w:t>
      </w:r>
      <w:r w:rsidR="00097EA2">
        <w:t>s</w:t>
      </w:r>
      <w:r w:rsidR="003366B6">
        <w:t xml:space="preserve"> on the part of the United States </w:t>
      </w:r>
      <w:r w:rsidR="002954D3">
        <w:t>towards Indian people.</w:t>
      </w:r>
    </w:p>
    <w:p w:rsidR="00855F09" w:rsidRPr="00527D99" w:rsidRDefault="00855F09"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DC53FB" w:rsidRDefault="00047FF3" w:rsidP="00E00D77">
      <w:pPr>
        <w:rPr>
          <w:rFonts w:cs="Arial"/>
        </w:rPr>
      </w:pPr>
      <w:r w:rsidRPr="00527D99">
        <w:rPr>
          <w:rFonts w:cs="Arial"/>
        </w:rPr>
        <w:t xml:space="preserve">Over the past two centuries plus, the federal government has fallen far short in meeting these solemn </w:t>
      </w:r>
      <w:r w:rsidR="002954D3">
        <w:rPr>
          <w:rFonts w:cs="Arial"/>
        </w:rPr>
        <w:t xml:space="preserve">treaty and trust </w:t>
      </w:r>
      <w:r w:rsidR="003366B6">
        <w:rPr>
          <w:rFonts w:cs="Arial"/>
        </w:rPr>
        <w:t xml:space="preserve">obligations.  </w:t>
      </w:r>
      <w:r w:rsidRPr="00527D99">
        <w:rPr>
          <w:rFonts w:cs="Arial"/>
        </w:rPr>
        <w:t>In the late 1800’s, the United States adopted and implemented a policy of fo</w:t>
      </w:r>
      <w:r w:rsidR="00097EA2">
        <w:rPr>
          <w:rFonts w:cs="Arial"/>
        </w:rPr>
        <w:t>rced Assimilation, whereby the federal g</w:t>
      </w:r>
      <w:r w:rsidRPr="00527D99">
        <w:rPr>
          <w:rFonts w:cs="Arial"/>
        </w:rPr>
        <w:t xml:space="preserve">overnment took Indian children from their homes, and placed them in military and religious boarding schools where they were forbidden from speaking their language or practicing their Native religions.  The concurrent policy of Allotment sought to destroy tribal governing structures, </w:t>
      </w:r>
      <w:r w:rsidR="00097EA2">
        <w:rPr>
          <w:rFonts w:cs="Arial"/>
        </w:rPr>
        <w:t xml:space="preserve">sold off treaty-protected Indian lands, </w:t>
      </w:r>
      <w:r w:rsidRPr="00527D99">
        <w:rPr>
          <w:rFonts w:cs="Arial"/>
        </w:rPr>
        <w:t xml:space="preserve">and had the result of further eroding tribal land bases and devastating tribal economies.  </w:t>
      </w:r>
      <w:r w:rsidR="00527D99">
        <w:rPr>
          <w:rFonts w:cs="Arial"/>
        </w:rPr>
        <w:t xml:space="preserve">Finally, the Termination policy of the 1950’s </w:t>
      </w:r>
      <w:r w:rsidR="00097EA2">
        <w:rPr>
          <w:rFonts w:cs="Arial"/>
        </w:rPr>
        <w:t xml:space="preserve">again </w:t>
      </w:r>
      <w:r w:rsidR="00527D99">
        <w:rPr>
          <w:rFonts w:cs="Arial"/>
        </w:rPr>
        <w:t xml:space="preserve">sought to put an end to tribal governing structures, eliminate remaining tribal land bases, and attempted to relocate individual Indians from tribal lands with the help of one-way bus tickets to </w:t>
      </w:r>
      <w:r w:rsidR="002954D3">
        <w:rPr>
          <w:rFonts w:cs="Arial"/>
        </w:rPr>
        <w:t xml:space="preserve">urban areas with the promise of vocational education. </w:t>
      </w:r>
      <w:r w:rsidR="003366B6">
        <w:rPr>
          <w:rFonts w:cs="Arial"/>
        </w:rPr>
        <w:t xml:space="preserve"> </w:t>
      </w:r>
    </w:p>
    <w:p w:rsidR="00DC53FB" w:rsidRDefault="00DC53FB" w:rsidP="00E00D77">
      <w:pPr>
        <w:rPr>
          <w:rFonts w:cs="Arial"/>
        </w:rPr>
      </w:pPr>
    </w:p>
    <w:p w:rsidR="00E00D77" w:rsidRDefault="003366B6" w:rsidP="00E00D77">
      <w:pPr>
        <w:rPr>
          <w:rFonts w:cs="Arial"/>
        </w:rPr>
      </w:pPr>
      <w:r>
        <w:rPr>
          <w:rFonts w:cs="Arial"/>
        </w:rPr>
        <w:t xml:space="preserve">These policies resulted in death of hundreds of thousands of our ancestors, the taking of hundreds of millions of acres of tribal homelands, the suppression of </w:t>
      </w:r>
      <w:r w:rsidR="00C54428">
        <w:rPr>
          <w:rFonts w:cs="Arial"/>
        </w:rPr>
        <w:t>tribal</w:t>
      </w:r>
      <w:r>
        <w:rPr>
          <w:rFonts w:cs="Arial"/>
        </w:rPr>
        <w:t xml:space="preserve"> religion and cul</w:t>
      </w:r>
      <w:r w:rsidR="00C54428">
        <w:rPr>
          <w:rFonts w:cs="Arial"/>
        </w:rPr>
        <w:t>ture, and the destruction of tribal</w:t>
      </w:r>
      <w:r>
        <w:rPr>
          <w:rFonts w:cs="Arial"/>
        </w:rPr>
        <w:t xml:space="preserve"> economies.  </w:t>
      </w:r>
      <w:r w:rsidR="00DC53FB">
        <w:rPr>
          <w:rFonts w:cs="Arial"/>
        </w:rPr>
        <w:t>The aftermath of these policies continues to plague Indian country to this day</w:t>
      </w:r>
      <w:r w:rsidR="007B595C">
        <w:rPr>
          <w:rFonts w:cs="Arial"/>
        </w:rPr>
        <w:t>.</w:t>
      </w:r>
      <w:r w:rsidR="00DC53FB">
        <w:rPr>
          <w:rFonts w:cs="Arial"/>
        </w:rPr>
        <w:t xml:space="preserve"> </w:t>
      </w:r>
    </w:p>
    <w:p w:rsidR="00E00D77" w:rsidRDefault="00E00D77" w:rsidP="00E00D77">
      <w:pPr>
        <w:rPr>
          <w:rFonts w:cs="Arial"/>
        </w:rPr>
      </w:pPr>
    </w:p>
    <w:p w:rsidR="00E00D77" w:rsidRDefault="00135CDA" w:rsidP="00047FF3">
      <w:pPr>
        <w:rPr>
          <w:rFonts w:cs="Arial"/>
        </w:rPr>
      </w:pPr>
      <w:r w:rsidRPr="002954D3">
        <w:rPr>
          <w:b/>
          <w:color w:val="000000"/>
        </w:rPr>
        <w:t xml:space="preserve">TRIBAL </w:t>
      </w:r>
      <w:r w:rsidR="00DC53FB">
        <w:rPr>
          <w:b/>
          <w:color w:val="000000"/>
        </w:rPr>
        <w:t xml:space="preserve">GOVERNMENT </w:t>
      </w:r>
      <w:r w:rsidRPr="002954D3">
        <w:rPr>
          <w:b/>
          <w:color w:val="000000"/>
        </w:rPr>
        <w:t xml:space="preserve">SELF-DETERMINATION </w:t>
      </w:r>
    </w:p>
    <w:p w:rsidR="00E00D77" w:rsidRDefault="00E00D77" w:rsidP="00047FF3">
      <w:pPr>
        <w:rPr>
          <w:rFonts w:cs="Arial"/>
        </w:rPr>
      </w:pPr>
    </w:p>
    <w:p w:rsidR="00047FF3" w:rsidRPr="002954D3" w:rsidRDefault="003366B6" w:rsidP="00047FF3">
      <w:pPr>
        <w:rPr>
          <w:rFonts w:cs="Arial"/>
        </w:rPr>
      </w:pPr>
      <w:r>
        <w:rPr>
          <w:rFonts w:cs="Arial"/>
        </w:rPr>
        <w:t xml:space="preserve">Time and time again, these policies were revealed as failures.  The persistence and perseverance of Indian people </w:t>
      </w:r>
      <w:r w:rsidR="00DC53FB">
        <w:rPr>
          <w:rFonts w:cs="Arial"/>
        </w:rPr>
        <w:t>demonstrated to</w:t>
      </w:r>
      <w:r>
        <w:rPr>
          <w:rFonts w:cs="Arial"/>
        </w:rPr>
        <w:t xml:space="preserve"> the federal government that </w:t>
      </w:r>
      <w:r w:rsidR="00DC53FB">
        <w:rPr>
          <w:rFonts w:cs="Arial"/>
        </w:rPr>
        <w:t xml:space="preserve">Indian country </w:t>
      </w:r>
      <w:r>
        <w:rPr>
          <w:rFonts w:cs="Arial"/>
        </w:rPr>
        <w:t xml:space="preserve">was not going to fade away.  On </w:t>
      </w:r>
      <w:r w:rsidR="009139D4" w:rsidRPr="002954D3">
        <w:rPr>
          <w:rFonts w:cs="Arial"/>
        </w:rPr>
        <w:t>July 8,</w:t>
      </w:r>
      <w:r w:rsidR="00047FF3" w:rsidRPr="002954D3">
        <w:rPr>
          <w:rFonts w:cs="Arial"/>
        </w:rPr>
        <w:t xml:space="preserve"> </w:t>
      </w:r>
      <w:r w:rsidR="009139D4" w:rsidRPr="002954D3">
        <w:rPr>
          <w:rFonts w:cs="Arial"/>
        </w:rPr>
        <w:t>1970, President Nixon formally</w:t>
      </w:r>
      <w:r w:rsidR="00047FF3" w:rsidRPr="002954D3">
        <w:rPr>
          <w:rFonts w:cs="Arial"/>
        </w:rPr>
        <w:t xml:space="preserve"> </w:t>
      </w:r>
      <w:r w:rsidR="009139D4" w:rsidRPr="002954D3">
        <w:rPr>
          <w:rFonts w:cs="Arial"/>
        </w:rPr>
        <w:t>repudiated the policy of Termination</w:t>
      </w:r>
      <w:r w:rsidR="00047FF3" w:rsidRPr="002954D3">
        <w:rPr>
          <w:rFonts w:cs="Arial"/>
        </w:rPr>
        <w:t xml:space="preserve"> and adopted a policy supporting Indian Self-Determination, which se</w:t>
      </w:r>
      <w:r w:rsidR="009139D4" w:rsidRPr="002954D3">
        <w:rPr>
          <w:rFonts w:cs="Arial"/>
        </w:rPr>
        <w:t xml:space="preserve">eks to improve Indian education, </w:t>
      </w:r>
      <w:r w:rsidR="00047FF3" w:rsidRPr="002954D3">
        <w:rPr>
          <w:rFonts w:cs="Arial"/>
        </w:rPr>
        <w:t xml:space="preserve">fosters tribal culture, </w:t>
      </w:r>
      <w:r w:rsidR="009139D4" w:rsidRPr="002954D3">
        <w:rPr>
          <w:rFonts w:cs="Arial"/>
        </w:rPr>
        <w:t xml:space="preserve">and enhances tribal economic development, </w:t>
      </w:r>
      <w:r w:rsidR="00047FF3" w:rsidRPr="002954D3">
        <w:rPr>
          <w:rFonts w:cs="Arial"/>
        </w:rPr>
        <w:t xml:space="preserve">among other goals.  </w:t>
      </w:r>
      <w:r>
        <w:rPr>
          <w:rFonts w:cs="Arial"/>
        </w:rPr>
        <w:t xml:space="preserve">Self-Determination remains the Indian Affairs policy of the United States to this day.  </w:t>
      </w:r>
      <w:r w:rsidR="00047FF3" w:rsidRPr="002954D3">
        <w:rPr>
          <w:rFonts w:cs="Arial"/>
        </w:rPr>
        <w:t xml:space="preserve">Tribal governments have seen progress in rebuilding their communities as a result of the Self-Determination policy.  </w:t>
      </w:r>
    </w:p>
    <w:p w:rsidR="00622656" w:rsidRPr="002954D3" w:rsidRDefault="00622656" w:rsidP="00047FF3">
      <w:pPr>
        <w:rPr>
          <w:rFonts w:cs="Arial"/>
        </w:rPr>
      </w:pPr>
    </w:p>
    <w:p w:rsidR="00622656" w:rsidRPr="002954D3" w:rsidRDefault="00622656" w:rsidP="00047FF3">
      <w:pPr>
        <w:rPr>
          <w:rFonts w:cs="Arial"/>
        </w:rPr>
      </w:pPr>
      <w:r w:rsidRPr="002954D3">
        <w:rPr>
          <w:rFonts w:cs="Arial"/>
        </w:rPr>
        <w:t xml:space="preserve">In the late 1960’s and early 1970’s, tribal governments took self-determination to heart, and opened </w:t>
      </w:r>
      <w:r w:rsidR="002954D3">
        <w:rPr>
          <w:rFonts w:cs="Arial"/>
        </w:rPr>
        <w:t xml:space="preserve">the first Indian </w:t>
      </w:r>
      <w:r w:rsidRPr="002954D3">
        <w:rPr>
          <w:rFonts w:cs="Arial"/>
        </w:rPr>
        <w:t xml:space="preserve">gaming operations to generate governmental revenue to fund essential tribal government programs and meet the shortfalls in the federal </w:t>
      </w:r>
      <w:r w:rsidR="002954D3">
        <w:rPr>
          <w:rFonts w:cs="Arial"/>
        </w:rPr>
        <w:t xml:space="preserve">obligations to provide for Indian education, health, and the general welfare of Indian people.  </w:t>
      </w:r>
      <w:r w:rsidRPr="002954D3">
        <w:rPr>
          <w:rFonts w:cs="Arial"/>
        </w:rPr>
        <w:t xml:space="preserve">  </w:t>
      </w:r>
    </w:p>
    <w:p w:rsidR="00417012" w:rsidRPr="002954D3" w:rsidRDefault="0041701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587F18" w:rsidRPr="00461176" w:rsidRDefault="0041701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2954D3">
        <w:rPr>
          <w:color w:val="000000"/>
        </w:rPr>
        <w:t>State governments and commercial gaming opera</w:t>
      </w:r>
      <w:r w:rsidR="003366B6">
        <w:rPr>
          <w:color w:val="000000"/>
        </w:rPr>
        <w:t>tions challenged the rights of t</w:t>
      </w:r>
      <w:r w:rsidRPr="002954D3">
        <w:rPr>
          <w:color w:val="000000"/>
        </w:rPr>
        <w:t xml:space="preserve">ribes to conduct gaming on their lands. These challenges culminated in the Supreme Court case of </w:t>
      </w:r>
      <w:r w:rsidRPr="002954D3">
        <w:rPr>
          <w:i/>
          <w:color w:val="000000"/>
        </w:rPr>
        <w:t>California v. Cabazon Band of Mission Indians</w:t>
      </w:r>
      <w:r w:rsidRPr="002954D3">
        <w:rPr>
          <w:color w:val="000000"/>
        </w:rPr>
        <w:t xml:space="preserve">, 480 U.S. 202 (1987). The </w:t>
      </w:r>
      <w:r w:rsidRPr="002954D3">
        <w:rPr>
          <w:i/>
          <w:color w:val="000000"/>
        </w:rPr>
        <w:t>Cabazon</w:t>
      </w:r>
      <w:r w:rsidRPr="002954D3">
        <w:rPr>
          <w:color w:val="000000"/>
        </w:rPr>
        <w:t xml:space="preserve"> </w:t>
      </w:r>
      <w:r w:rsidR="004A530F">
        <w:rPr>
          <w:color w:val="000000"/>
        </w:rPr>
        <w:t>Court upheld the right of t</w:t>
      </w:r>
      <w:r w:rsidRPr="002954D3">
        <w:rPr>
          <w:color w:val="000000"/>
        </w:rPr>
        <w:t>ribes, as governments, to conduct gaming on their lands</w:t>
      </w:r>
      <w:r w:rsidR="004A530F">
        <w:rPr>
          <w:color w:val="000000"/>
        </w:rPr>
        <w:t xml:space="preserve"> free from s</w:t>
      </w:r>
      <w:r w:rsidR="00587F18" w:rsidRPr="002954D3">
        <w:rPr>
          <w:color w:val="000000"/>
        </w:rPr>
        <w:t>tate control or interference</w:t>
      </w:r>
      <w:r w:rsidRPr="002954D3">
        <w:rPr>
          <w:color w:val="000000"/>
        </w:rPr>
        <w:t>.</w:t>
      </w:r>
      <w:r w:rsidR="00587F18" w:rsidRPr="002954D3">
        <w:rPr>
          <w:color w:val="000000"/>
        </w:rPr>
        <w:t xml:space="preserve"> </w:t>
      </w:r>
      <w:r w:rsidRPr="002954D3">
        <w:rPr>
          <w:color w:val="000000"/>
        </w:rPr>
        <w:t xml:space="preserve"> The Court reasoned that Indian gaming is crucial to trib</w:t>
      </w:r>
      <w:r w:rsidR="00587F18" w:rsidRPr="002954D3">
        <w:rPr>
          <w:color w:val="000000"/>
        </w:rPr>
        <w:t>al self-determination and self-</w:t>
      </w:r>
      <w:r w:rsidRPr="002954D3">
        <w:rPr>
          <w:color w:val="000000"/>
        </w:rPr>
        <w:t>governance because it provides</w:t>
      </w:r>
      <w:r w:rsidRPr="00461176">
        <w:rPr>
          <w:color w:val="000000"/>
        </w:rPr>
        <w:t xml:space="preserve"> tribal governments with a means to generate governmental revenue for essential services and functions. </w:t>
      </w:r>
    </w:p>
    <w:p w:rsidR="00880AA4" w:rsidRDefault="00880AA4"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587F18" w:rsidRPr="00461176" w:rsidRDefault="00587F18"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150D53" w:rsidRPr="00DB2111" w:rsidRDefault="0041701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DB2111">
        <w:rPr>
          <w:color w:val="000000"/>
        </w:rPr>
        <w:lastRenderedPageBreak/>
        <w:t xml:space="preserve">In 1988, one year after the </w:t>
      </w:r>
      <w:r w:rsidRPr="00DB2111">
        <w:rPr>
          <w:i/>
          <w:color w:val="000000"/>
        </w:rPr>
        <w:t>Cabazon</w:t>
      </w:r>
      <w:r w:rsidRPr="00DB2111">
        <w:rPr>
          <w:color w:val="000000"/>
        </w:rPr>
        <w:t xml:space="preserve"> decision, Congress enacted the Indian Gaming Regulatory Act </w:t>
      </w:r>
      <w:r w:rsidR="00587F18" w:rsidRPr="00DB2111">
        <w:rPr>
          <w:color w:val="000000"/>
        </w:rPr>
        <w:t>(IGRA)</w:t>
      </w:r>
      <w:r w:rsidRPr="00DB2111">
        <w:rPr>
          <w:color w:val="000000"/>
        </w:rPr>
        <w:t>.</w:t>
      </w:r>
      <w:r w:rsidR="00587F18" w:rsidRPr="00DB2111">
        <w:rPr>
          <w:color w:val="000000"/>
        </w:rPr>
        <w:t xml:space="preserve"> </w:t>
      </w:r>
      <w:r w:rsidR="00DB2111" w:rsidRPr="00DB2111">
        <w:t>The stated goals of IGRA include the promotion of tribal economic development</w:t>
      </w:r>
      <w:r w:rsidR="004A530F">
        <w:t xml:space="preserve"> and self-sufficiency</w:t>
      </w:r>
      <w:r w:rsidR="00DB2111" w:rsidRPr="00DB2111">
        <w:t xml:space="preserve">, strengthening </w:t>
      </w:r>
      <w:r w:rsidR="004A530F">
        <w:t>tribal governments</w:t>
      </w:r>
      <w:r w:rsidR="00DB2111" w:rsidRPr="00DB2111">
        <w:t xml:space="preserve">, and establishing a federal framework to regulate Indian gaming. </w:t>
      </w:r>
      <w:r w:rsidR="003A30E3" w:rsidRPr="00DB2111">
        <w:rPr>
          <w:color w:val="000000"/>
        </w:rPr>
        <w:t>The Act</w:t>
      </w:r>
      <w:r w:rsidR="00181F3B">
        <w:rPr>
          <w:color w:val="000000"/>
        </w:rPr>
        <w:t xml:space="preserve"> also</w:t>
      </w:r>
      <w:r w:rsidR="003A30E3" w:rsidRPr="00DB2111">
        <w:rPr>
          <w:color w:val="000000"/>
        </w:rPr>
        <w:t xml:space="preserve"> established the National Indian Gaming Commission (NIGC).  While there are dozens of forms of gaming in America, the NIGC</w:t>
      </w:r>
      <w:r w:rsidR="00181F3B">
        <w:rPr>
          <w:color w:val="000000"/>
        </w:rPr>
        <w:t xml:space="preserve"> is the only federal c</w:t>
      </w:r>
      <w:r w:rsidR="004A530F">
        <w:rPr>
          <w:color w:val="000000"/>
        </w:rPr>
        <w:t>ommission</w:t>
      </w:r>
      <w:r w:rsidR="003A30E3" w:rsidRPr="00DB2111">
        <w:rPr>
          <w:color w:val="000000"/>
        </w:rPr>
        <w:t xml:space="preserve"> to regulate </w:t>
      </w:r>
      <w:r w:rsidR="004A530F">
        <w:rPr>
          <w:color w:val="000000"/>
        </w:rPr>
        <w:t xml:space="preserve">any form of </w:t>
      </w:r>
      <w:r w:rsidR="003A30E3" w:rsidRPr="00DB2111">
        <w:rPr>
          <w:color w:val="000000"/>
        </w:rPr>
        <w:t xml:space="preserve">gaming in the United States.  </w:t>
      </w:r>
    </w:p>
    <w:p w:rsidR="00150D53" w:rsidRPr="00DB2111" w:rsidRDefault="00150D53"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C44E5C" w:rsidRPr="00461176" w:rsidRDefault="00150D53"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DB2111">
        <w:rPr>
          <w:color w:val="000000"/>
        </w:rPr>
        <w:t>IGRA did not come from Indian country</w:t>
      </w:r>
      <w:r w:rsidR="004A530F">
        <w:rPr>
          <w:color w:val="000000"/>
        </w:rPr>
        <w:t xml:space="preserve">.  A </w:t>
      </w:r>
      <w:r w:rsidRPr="00DB2111">
        <w:rPr>
          <w:color w:val="000000"/>
        </w:rPr>
        <w:t>number of tribal governments</w:t>
      </w:r>
      <w:r w:rsidR="004A530F">
        <w:rPr>
          <w:color w:val="000000"/>
        </w:rPr>
        <w:t xml:space="preserve"> strongly</w:t>
      </w:r>
      <w:r w:rsidRPr="00DB2111">
        <w:rPr>
          <w:color w:val="000000"/>
        </w:rPr>
        <w:t xml:space="preserve"> opposed </w:t>
      </w:r>
      <w:r w:rsidR="004A530F">
        <w:rPr>
          <w:color w:val="000000"/>
        </w:rPr>
        <w:t xml:space="preserve">the </w:t>
      </w:r>
      <w:r w:rsidRPr="00DB2111">
        <w:rPr>
          <w:color w:val="000000"/>
        </w:rPr>
        <w:t xml:space="preserve">federal legislation.  The Act is far from </w:t>
      </w:r>
      <w:r>
        <w:rPr>
          <w:color w:val="000000"/>
        </w:rPr>
        <w:t>perfect, and the U.S. Supreme Court has added to its imperfections.  However, for nearly 23 years, more than 200 tribes nationwide have made IGRA work to help begin to rebuild their communities</w:t>
      </w:r>
      <w:r w:rsidR="00DB2111">
        <w:rPr>
          <w:color w:val="000000"/>
        </w:rPr>
        <w:t xml:space="preserve"> and meet the stated goals of the Act</w:t>
      </w:r>
      <w:r>
        <w:rPr>
          <w:color w:val="000000"/>
        </w:rPr>
        <w:t xml:space="preserve">.  </w:t>
      </w:r>
    </w:p>
    <w:p w:rsidR="009E0EC2" w:rsidRPr="00461176" w:rsidRDefault="009E0EC2" w:rsidP="00417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F201C9" w:rsidRPr="00880AA4" w:rsidRDefault="009E0EC2" w:rsidP="00F201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sidRPr="00880AA4">
        <w:rPr>
          <w:b/>
          <w:color w:val="000000"/>
        </w:rPr>
        <w:t>STATE OF INDIAN GAMING</w:t>
      </w:r>
    </w:p>
    <w:p w:rsidR="00F201C9" w:rsidRPr="00880AA4" w:rsidRDefault="00F201C9" w:rsidP="00F201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6446B0" w:rsidRPr="00880AA4" w:rsidRDefault="00036E07" w:rsidP="006446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sidRPr="00880AA4">
        <w:t xml:space="preserve">Indian gaming </w:t>
      </w:r>
      <w:r w:rsidR="00930C14">
        <w:t>is</w:t>
      </w:r>
      <w:r w:rsidRPr="00880AA4">
        <w:t xml:space="preserve"> the Native American success story. </w:t>
      </w:r>
      <w:r w:rsidR="006446B0" w:rsidRPr="00880AA4">
        <w:rPr>
          <w:color w:val="000000"/>
        </w:rPr>
        <w:t>For more than three decades, Indian gaming has proven to be the most successful tool for econom</w:t>
      </w:r>
      <w:r w:rsidR="00930C14">
        <w:rPr>
          <w:color w:val="000000"/>
        </w:rPr>
        <w:t>ic development for many Indian t</w:t>
      </w:r>
      <w:r w:rsidR="006446B0" w:rsidRPr="00880AA4">
        <w:rPr>
          <w:color w:val="000000"/>
        </w:rPr>
        <w:t xml:space="preserve">ribes. </w:t>
      </w:r>
      <w:r w:rsidR="00930C14">
        <w:rPr>
          <w:color w:val="000000"/>
        </w:rPr>
        <w:t xml:space="preserve"> </w:t>
      </w:r>
      <w:r w:rsidR="006446B0" w:rsidRPr="00880AA4">
        <w:rPr>
          <w:color w:val="000000"/>
        </w:rPr>
        <w:t xml:space="preserve">In 2010, 236 of the 565 federally recognized Indian tribal governments operated gaming to generate revenue for their communities. </w:t>
      </w:r>
    </w:p>
    <w:p w:rsidR="006446B0" w:rsidRPr="00880AA4" w:rsidRDefault="006446B0" w:rsidP="00F201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930C14" w:rsidRPr="00930C14" w:rsidRDefault="00930C14" w:rsidP="00930C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t xml:space="preserve">Many tribes have used revenue from Indian gaming to put a new face on their communities.  </w:t>
      </w:r>
      <w:r w:rsidR="00036E07" w:rsidRPr="00880AA4">
        <w:rPr>
          <w:bCs/>
        </w:rPr>
        <w:t xml:space="preserve">Indian tribes have </w:t>
      </w:r>
      <w:r>
        <w:rPr>
          <w:bCs/>
        </w:rPr>
        <w:t>dedicated</w:t>
      </w:r>
      <w:r w:rsidR="00036E07" w:rsidRPr="00880AA4">
        <w:rPr>
          <w:bCs/>
        </w:rPr>
        <w:t xml:space="preserve"> gaming revenues to improve basic health, education, and public safety services on Indian lands.  We have used gaming dollars to improve tribal infrastructure, including the construction of roads, hospitals, schools, police buildings, water projects, and many others. </w:t>
      </w:r>
      <w:r>
        <w:rPr>
          <w:color w:val="000000"/>
        </w:rPr>
        <w:t>Gaming revenues also enable t</w:t>
      </w:r>
      <w:r w:rsidRPr="00461176">
        <w:rPr>
          <w:color w:val="000000"/>
        </w:rPr>
        <w:t xml:space="preserve">ribes to diversify their economies beyond gaming. </w:t>
      </w:r>
      <w:r>
        <w:rPr>
          <w:color w:val="000000"/>
        </w:rPr>
        <w:t xml:space="preserve"> Because of capital provided by gaming, t</w:t>
      </w:r>
      <w:r w:rsidRPr="00461176">
        <w:rPr>
          <w:color w:val="000000"/>
        </w:rPr>
        <w:t xml:space="preserve">ribes </w:t>
      </w:r>
      <w:r w:rsidRPr="00930C14">
        <w:rPr>
          <w:color w:val="000000"/>
        </w:rPr>
        <w:t>have invested in renewable energy projects, re</w:t>
      </w:r>
      <w:r w:rsidR="00181F3B">
        <w:rPr>
          <w:color w:val="000000"/>
        </w:rPr>
        <w:t>tails operations, manufacturing</w:t>
      </w:r>
      <w:r w:rsidRPr="00930C14">
        <w:rPr>
          <w:color w:val="000000"/>
        </w:rPr>
        <w:t xml:space="preserve"> and other entrepreneurial ventures.  </w:t>
      </w:r>
    </w:p>
    <w:p w:rsidR="00930C14" w:rsidRPr="00930C14" w:rsidRDefault="00930C14" w:rsidP="00F201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p>
    <w:p w:rsidR="00F201C9" w:rsidRPr="00930C14" w:rsidRDefault="00930C14" w:rsidP="00F201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sidRPr="00930C14">
        <w:rPr>
          <w:bCs/>
        </w:rPr>
        <w:t xml:space="preserve">For many tribes, Indian gaming is first and foremost about jobs.  Indian gaming is a </w:t>
      </w:r>
      <w:r w:rsidR="00036E07" w:rsidRPr="00930C14">
        <w:rPr>
          <w:bCs/>
        </w:rPr>
        <w:t>proven job creator, e</w:t>
      </w:r>
      <w:r w:rsidR="00150D53" w:rsidRPr="00930C14">
        <w:rPr>
          <w:bCs/>
        </w:rPr>
        <w:t>stablishing and fostering over 6</w:t>
      </w:r>
      <w:r w:rsidR="00036E07" w:rsidRPr="00930C14">
        <w:rPr>
          <w:bCs/>
        </w:rPr>
        <w:t>00,000 direct and indirect American jobs</w:t>
      </w:r>
      <w:r w:rsidR="00181F3B">
        <w:rPr>
          <w:bCs/>
        </w:rPr>
        <w:t xml:space="preserve"> in 2010</w:t>
      </w:r>
      <w:r w:rsidR="00036E07" w:rsidRPr="00930C14">
        <w:rPr>
          <w:bCs/>
        </w:rPr>
        <w:t xml:space="preserve">. </w:t>
      </w:r>
      <w:r>
        <w:rPr>
          <w:bCs/>
        </w:rPr>
        <w:t xml:space="preserve"> Indian gaming has provided</w:t>
      </w:r>
      <w:r w:rsidRPr="00930C14">
        <w:rPr>
          <w:szCs w:val="36"/>
        </w:rPr>
        <w:t xml:space="preserve"> many individual Indians with </w:t>
      </w:r>
      <w:r>
        <w:rPr>
          <w:szCs w:val="36"/>
        </w:rPr>
        <w:t>their first opportunity at work.  Just as</w:t>
      </w:r>
      <w:r w:rsidRPr="00930C14">
        <w:rPr>
          <w:szCs w:val="36"/>
        </w:rPr>
        <w:t xml:space="preserve"> importantly </w:t>
      </w:r>
      <w:r>
        <w:rPr>
          <w:szCs w:val="36"/>
        </w:rPr>
        <w:t>Indian gaming is</w:t>
      </w:r>
      <w:r w:rsidRPr="00930C14">
        <w:rPr>
          <w:szCs w:val="36"/>
        </w:rPr>
        <w:t xml:space="preserve"> bringing entire families back to Indian country.  Because of Indian gaming, reservations are again becoming livable homes, as promised in hundreds of treaties.  </w:t>
      </w:r>
      <w:r w:rsidR="00036E07" w:rsidRPr="00930C14">
        <w:rPr>
          <w:bCs/>
        </w:rPr>
        <w:t xml:space="preserve">These </w:t>
      </w:r>
      <w:r>
        <w:rPr>
          <w:bCs/>
        </w:rPr>
        <w:t xml:space="preserve">American </w:t>
      </w:r>
      <w:r w:rsidR="00036E07" w:rsidRPr="00930C14">
        <w:rPr>
          <w:bCs/>
        </w:rPr>
        <w:t xml:space="preserve">jobs go to both Indian and non-Indian alike. </w:t>
      </w:r>
      <w:r w:rsidRPr="00930C14">
        <w:rPr>
          <w:bCs/>
        </w:rPr>
        <w:t xml:space="preserve"> Without question, we are putting people to work.  </w:t>
      </w:r>
    </w:p>
    <w:p w:rsidR="00F201C9" w:rsidRPr="00930C14" w:rsidRDefault="00F201C9" w:rsidP="00F201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181F3B" w:rsidRDefault="00EB0D48" w:rsidP="00F201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930C14">
        <w:rPr>
          <w:color w:val="000000"/>
        </w:rPr>
        <w:t xml:space="preserve">Indian gaming also benefits </w:t>
      </w:r>
      <w:r w:rsidR="00181F3B">
        <w:rPr>
          <w:color w:val="000000"/>
        </w:rPr>
        <w:t>federal, s</w:t>
      </w:r>
      <w:r w:rsidR="002750AD" w:rsidRPr="00930C14">
        <w:rPr>
          <w:color w:val="000000"/>
        </w:rPr>
        <w:t xml:space="preserve">tate, and local </w:t>
      </w:r>
      <w:r w:rsidRPr="00930C14">
        <w:rPr>
          <w:color w:val="000000"/>
        </w:rPr>
        <w:t xml:space="preserve">governments. </w:t>
      </w:r>
      <w:r w:rsidR="007066B1" w:rsidRPr="00930C14">
        <w:rPr>
          <w:color w:val="000000"/>
        </w:rPr>
        <w:t>A June 2011 National Public Radio report, titled</w:t>
      </w:r>
      <w:r w:rsidR="007066B1">
        <w:rPr>
          <w:color w:val="000000"/>
        </w:rPr>
        <w:t xml:space="preserve"> “Casino Revenue Helps Tribes Aid Local Governments,” acknowledged that revenue from the </w:t>
      </w:r>
      <w:r w:rsidR="007066B1" w:rsidRPr="00C372ED">
        <w:rPr>
          <w:color w:val="000000"/>
        </w:rPr>
        <w:t xml:space="preserve">Stillaguamish Tribe of Washington helped prevent additional layoffs at the local Everett, Washington prosecutor’s office.  </w:t>
      </w:r>
      <w:r w:rsidR="00C372ED" w:rsidRPr="00C372ED">
        <w:rPr>
          <w:color w:val="000000"/>
        </w:rPr>
        <w:t xml:space="preserve">The article also noted </w:t>
      </w:r>
      <w:r w:rsidR="00C372ED" w:rsidRPr="00C372ED">
        <w:rPr>
          <w:rFonts w:cs="Arial"/>
          <w:color w:val="262626"/>
          <w:szCs w:val="28"/>
        </w:rPr>
        <w:t>to the $1.3 million t</w:t>
      </w:r>
      <w:r w:rsidR="00C372ED">
        <w:rPr>
          <w:rFonts w:cs="Arial"/>
          <w:color w:val="262626"/>
          <w:szCs w:val="28"/>
        </w:rPr>
        <w:t>hat t</w:t>
      </w:r>
      <w:r w:rsidR="00C372ED" w:rsidRPr="00C372ED">
        <w:rPr>
          <w:rFonts w:cs="Arial"/>
          <w:color w:val="262626"/>
          <w:szCs w:val="28"/>
        </w:rPr>
        <w:t xml:space="preserve">he Tulalip </w:t>
      </w:r>
      <w:r w:rsidR="00C372ED">
        <w:rPr>
          <w:rFonts w:cs="Arial"/>
          <w:color w:val="262626"/>
          <w:szCs w:val="28"/>
        </w:rPr>
        <w:t>T</w:t>
      </w:r>
      <w:r w:rsidR="00C372ED" w:rsidRPr="00C372ED">
        <w:rPr>
          <w:rFonts w:cs="Arial"/>
          <w:color w:val="262626"/>
          <w:szCs w:val="28"/>
        </w:rPr>
        <w:t>ribes recently gave to the local school district after they heard about possible budget cuts</w:t>
      </w:r>
      <w:r w:rsidR="00C372ED">
        <w:rPr>
          <w:rFonts w:cs="Arial"/>
          <w:color w:val="262626"/>
          <w:szCs w:val="28"/>
        </w:rPr>
        <w:t xml:space="preserve"> and teacher layoffs</w:t>
      </w:r>
      <w:r w:rsidR="00C372ED" w:rsidRPr="00C372ED">
        <w:rPr>
          <w:rFonts w:cs="Arial"/>
          <w:color w:val="262626"/>
          <w:szCs w:val="28"/>
        </w:rPr>
        <w:t>.</w:t>
      </w:r>
      <w:r w:rsidR="00C372ED" w:rsidRPr="00C372ED">
        <w:rPr>
          <w:color w:val="000000"/>
        </w:rPr>
        <w:t xml:space="preserve"> These</w:t>
      </w:r>
      <w:r w:rsidR="007066B1" w:rsidRPr="00C372ED">
        <w:rPr>
          <w:color w:val="000000"/>
        </w:rPr>
        <w:t xml:space="preserve"> </w:t>
      </w:r>
      <w:r w:rsidR="00C372ED" w:rsidRPr="00C372ED">
        <w:rPr>
          <w:color w:val="000000"/>
        </w:rPr>
        <w:t xml:space="preserve">same </w:t>
      </w:r>
      <w:r w:rsidR="007066B1" w:rsidRPr="00C372ED">
        <w:rPr>
          <w:color w:val="000000"/>
        </w:rPr>
        <w:t>scenario</w:t>
      </w:r>
      <w:r w:rsidR="00C372ED" w:rsidRPr="00C372ED">
        <w:rPr>
          <w:color w:val="000000"/>
        </w:rPr>
        <w:t>s are</w:t>
      </w:r>
      <w:r w:rsidR="007066B1" w:rsidRPr="00C372ED">
        <w:rPr>
          <w:color w:val="000000"/>
        </w:rPr>
        <w:t xml:space="preserve"> taking place in more than a hundred local jurisdictio</w:t>
      </w:r>
      <w:r w:rsidR="00181F3B">
        <w:rPr>
          <w:color w:val="000000"/>
        </w:rPr>
        <w:t xml:space="preserve">ns throughout the United States, saving thousands of jobs for American health care workers, fire fighters, police officers, </w:t>
      </w:r>
      <w:r w:rsidR="00181F3B">
        <w:rPr>
          <w:color w:val="000000"/>
        </w:rPr>
        <w:lastRenderedPageBreak/>
        <w:t>and many other local officials that provide essential services to children, elders, and others.</w:t>
      </w:r>
    </w:p>
    <w:p w:rsidR="00F201C9" w:rsidRDefault="00F201C9" w:rsidP="00F201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342CA8" w:rsidRDefault="007066B1" w:rsidP="0034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681147">
        <w:rPr>
          <w:color w:val="000000"/>
        </w:rPr>
        <w:t xml:space="preserve">In 2010, Indian gaming </w:t>
      </w:r>
      <w:r w:rsidR="00681147" w:rsidRPr="00681147">
        <w:rPr>
          <w:color w:val="000000"/>
        </w:rPr>
        <w:t>generated close to</w:t>
      </w:r>
      <w:r w:rsidR="00345612">
        <w:rPr>
          <w:color w:val="000000"/>
        </w:rPr>
        <w:t xml:space="preserve"> $13 billion</w:t>
      </w:r>
      <w:r w:rsidR="00681147" w:rsidRPr="00681147">
        <w:rPr>
          <w:color w:val="000000"/>
        </w:rPr>
        <w:t xml:space="preserve"> for federal, state and local governments budgets </w:t>
      </w:r>
      <w:r w:rsidR="00681147" w:rsidRPr="00681147">
        <w:rPr>
          <w:bCs/>
        </w:rPr>
        <w:t>through compact and service agreements, indirect payment of employment, income, sales and other state taxes, and reduced general welfare payments</w:t>
      </w:r>
      <w:r w:rsidR="00345612">
        <w:rPr>
          <w:color w:val="000000"/>
        </w:rPr>
        <w:t>. Despite the fact that Indian t</w:t>
      </w:r>
      <w:r w:rsidRPr="00681147">
        <w:rPr>
          <w:color w:val="000000"/>
        </w:rPr>
        <w:t>ribes are governments, not subject to direct taxation, individual Indians pay federal income taxes, the people who work at casinos pay taxes, and those who do business with</w:t>
      </w:r>
      <w:r w:rsidRPr="00461176">
        <w:rPr>
          <w:color w:val="000000"/>
        </w:rPr>
        <w:t xml:space="preserve"> </w:t>
      </w:r>
      <w:r w:rsidR="00681147">
        <w:rPr>
          <w:color w:val="000000"/>
        </w:rPr>
        <w:t xml:space="preserve">tribal </w:t>
      </w:r>
      <w:r w:rsidRPr="00461176">
        <w:rPr>
          <w:color w:val="000000"/>
        </w:rPr>
        <w:t>ca</w:t>
      </w:r>
      <w:r w:rsidR="00181F3B">
        <w:rPr>
          <w:color w:val="000000"/>
        </w:rPr>
        <w:t>sinos pay taxes. As employers, t</w:t>
      </w:r>
      <w:r w:rsidRPr="00461176">
        <w:rPr>
          <w:color w:val="000000"/>
        </w:rPr>
        <w:t>ribes also pay employment taxes to fund social security and participate as governments in the federal unemployment system.</w:t>
      </w:r>
      <w:r w:rsidR="00F2671B">
        <w:rPr>
          <w:color w:val="000000"/>
        </w:rPr>
        <w:t xml:space="preserve">  </w:t>
      </w:r>
      <w:r w:rsidR="00345612">
        <w:rPr>
          <w:color w:val="000000"/>
        </w:rPr>
        <w:t>Indian t</w:t>
      </w:r>
      <w:r w:rsidR="008578EC" w:rsidRPr="00461176">
        <w:rPr>
          <w:color w:val="000000"/>
        </w:rPr>
        <w:t xml:space="preserve">ribes </w:t>
      </w:r>
      <w:r w:rsidR="00461176">
        <w:rPr>
          <w:color w:val="000000"/>
        </w:rPr>
        <w:t xml:space="preserve">also </w:t>
      </w:r>
      <w:r w:rsidR="008578EC" w:rsidRPr="00461176">
        <w:rPr>
          <w:color w:val="000000"/>
        </w:rPr>
        <w:t xml:space="preserve">made </w:t>
      </w:r>
      <w:r w:rsidR="00F2671B">
        <w:rPr>
          <w:color w:val="000000"/>
        </w:rPr>
        <w:t>more than</w:t>
      </w:r>
      <w:r w:rsidR="00345612">
        <w:rPr>
          <w:color w:val="000000"/>
        </w:rPr>
        <w:t xml:space="preserve"> $100 million</w:t>
      </w:r>
      <w:r w:rsidR="00132BEB" w:rsidRPr="00461176">
        <w:rPr>
          <w:color w:val="000000"/>
        </w:rPr>
        <w:t xml:space="preserve"> </w:t>
      </w:r>
      <w:r w:rsidR="00461176">
        <w:rPr>
          <w:color w:val="000000"/>
        </w:rPr>
        <w:t xml:space="preserve">in </w:t>
      </w:r>
      <w:r w:rsidR="008578EC" w:rsidRPr="00461176">
        <w:rPr>
          <w:color w:val="000000"/>
        </w:rPr>
        <w:t>cha</w:t>
      </w:r>
      <w:r w:rsidR="00F2671B">
        <w:rPr>
          <w:color w:val="000000"/>
        </w:rPr>
        <w:t>ritable contributions to other t</w:t>
      </w:r>
      <w:r w:rsidR="008578EC" w:rsidRPr="00461176">
        <w:rPr>
          <w:color w:val="000000"/>
        </w:rPr>
        <w:t>ribe</w:t>
      </w:r>
      <w:r w:rsidR="006446B0">
        <w:rPr>
          <w:color w:val="000000"/>
        </w:rPr>
        <w:t>s, nearby state and local governments, and non-profits and private organizations</w:t>
      </w:r>
      <w:r w:rsidR="008578EC" w:rsidRPr="00461176">
        <w:rPr>
          <w:color w:val="000000"/>
        </w:rPr>
        <w:t xml:space="preserve">.  </w:t>
      </w:r>
      <w:r w:rsidR="00417012" w:rsidRPr="00461176">
        <w:rPr>
          <w:color w:val="000000"/>
        </w:rPr>
        <w:t xml:space="preserve">In short, Indian gaming </w:t>
      </w:r>
      <w:r w:rsidR="00EB2300">
        <w:rPr>
          <w:color w:val="000000"/>
        </w:rPr>
        <w:t xml:space="preserve">has become a vital piece of </w:t>
      </w:r>
      <w:r w:rsidR="002435B5" w:rsidRPr="00461176">
        <w:rPr>
          <w:color w:val="000000"/>
        </w:rPr>
        <w:t>the national economy</w:t>
      </w:r>
      <w:r w:rsidR="00417012" w:rsidRPr="00461176">
        <w:rPr>
          <w:color w:val="000000"/>
        </w:rPr>
        <w:t>.</w:t>
      </w:r>
    </w:p>
    <w:p w:rsidR="00342CA8" w:rsidRDefault="00342CA8" w:rsidP="0034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3E200F" w:rsidRDefault="00076C9E" w:rsidP="0034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color w:val="000000"/>
        </w:rPr>
        <w:t xml:space="preserve">As this Committee has </w:t>
      </w:r>
      <w:r w:rsidR="008578EC" w:rsidRPr="00461176">
        <w:rPr>
          <w:color w:val="000000"/>
        </w:rPr>
        <w:t>highlighted</w:t>
      </w:r>
      <w:r w:rsidRPr="00461176">
        <w:rPr>
          <w:color w:val="000000"/>
        </w:rPr>
        <w:t xml:space="preserve"> over the past several years, </w:t>
      </w:r>
      <w:r w:rsidR="00DB2111">
        <w:rPr>
          <w:color w:val="000000"/>
        </w:rPr>
        <w:t xml:space="preserve">much more needs to be done.  </w:t>
      </w:r>
      <w:r w:rsidR="00345612">
        <w:rPr>
          <w:color w:val="000000"/>
        </w:rPr>
        <w:t>Indian gaming is not a cure all</w:t>
      </w:r>
      <w:r w:rsidR="006446B0">
        <w:rPr>
          <w:color w:val="000000"/>
        </w:rPr>
        <w:t>, and many tribal communities continue to suffer the devastating effects of the</w:t>
      </w:r>
      <w:r w:rsidR="00E425DC">
        <w:rPr>
          <w:color w:val="000000"/>
        </w:rPr>
        <w:t xml:space="preserve"> past failed federal policies</w:t>
      </w:r>
      <w:r w:rsidR="00342CA8">
        <w:rPr>
          <w:color w:val="000000"/>
        </w:rPr>
        <w:t>.</w:t>
      </w:r>
      <w:r w:rsidR="00E425DC">
        <w:rPr>
          <w:color w:val="000000"/>
        </w:rPr>
        <w:t xml:space="preserve"> </w:t>
      </w:r>
      <w:r w:rsidR="00342CA8" w:rsidRPr="00461176">
        <w:rPr>
          <w:color w:val="000000"/>
        </w:rPr>
        <w:t xml:space="preserve">Too many of our people continue to live with disease and poverty.  Indian health care is substandard, violent crime is multiple times the national average, and unemployment on Indian reservations nationwide </w:t>
      </w:r>
      <w:r w:rsidR="00342CA8" w:rsidRPr="00342CA8">
        <w:rPr>
          <w:color w:val="000000"/>
        </w:rPr>
        <w:t>averages 50%</w:t>
      </w:r>
      <w:r w:rsidR="00181F3B">
        <w:rPr>
          <w:color w:val="000000"/>
        </w:rPr>
        <w:t>.  Again, o</w:t>
      </w:r>
      <w:r w:rsidR="00345612" w:rsidRPr="00342CA8">
        <w:rPr>
          <w:color w:val="000000"/>
        </w:rPr>
        <w:t>nly 2</w:t>
      </w:r>
      <w:r w:rsidR="00181F3B">
        <w:rPr>
          <w:color w:val="000000"/>
        </w:rPr>
        <w:t>36</w:t>
      </w:r>
      <w:r w:rsidR="00345612" w:rsidRPr="00342CA8">
        <w:rPr>
          <w:color w:val="000000"/>
        </w:rPr>
        <w:t xml:space="preserve"> of the 565 federal recognized tribes are able to use gaming as a means of economic development.  </w:t>
      </w:r>
    </w:p>
    <w:p w:rsidR="00342CA8" w:rsidRPr="00342CA8" w:rsidRDefault="00342CA8" w:rsidP="0034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342CA8" w:rsidRDefault="00342CA8" w:rsidP="0034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342CA8">
        <w:rPr>
          <w:color w:val="000000"/>
        </w:rPr>
        <w:t xml:space="preserve">To broaden the economic success of Indian gaming, </w:t>
      </w:r>
      <w:r w:rsidR="00DB2111" w:rsidRPr="00342CA8">
        <w:rPr>
          <w:color w:val="000000"/>
        </w:rPr>
        <w:t xml:space="preserve">NIGA is working </w:t>
      </w:r>
      <w:r w:rsidR="00181F3B">
        <w:rPr>
          <w:szCs w:val="36"/>
        </w:rPr>
        <w:t>with our Member T</w:t>
      </w:r>
      <w:r w:rsidR="00345612" w:rsidRPr="00342CA8">
        <w:rPr>
          <w:szCs w:val="36"/>
        </w:rPr>
        <w:t>ribes to further encourage tr</w:t>
      </w:r>
      <w:r>
        <w:rPr>
          <w:szCs w:val="36"/>
        </w:rPr>
        <w:t>ibe-to-tribe giving and lending.  T</w:t>
      </w:r>
      <w:r w:rsidR="00345612" w:rsidRPr="00342CA8">
        <w:rPr>
          <w:szCs w:val="36"/>
        </w:rPr>
        <w:t>hrough our A</w:t>
      </w:r>
      <w:r>
        <w:rPr>
          <w:szCs w:val="36"/>
        </w:rPr>
        <w:t>merican Indian Business Network,</w:t>
      </w:r>
      <w:r w:rsidR="00345612" w:rsidRPr="00342CA8">
        <w:rPr>
          <w:szCs w:val="36"/>
        </w:rPr>
        <w:t xml:space="preserve"> we work to highlight the benefits of hiring Native owned businesses and procurement of Native produced goods and services.  </w:t>
      </w:r>
      <w:r w:rsidR="00181F3B">
        <w:rPr>
          <w:szCs w:val="36"/>
        </w:rPr>
        <w:t>E</w:t>
      </w:r>
      <w:r>
        <w:rPr>
          <w:szCs w:val="36"/>
        </w:rPr>
        <w:t xml:space="preserve">mpowering tribal entrepreneurs and tribal government owned businesses, </w:t>
      </w:r>
      <w:r w:rsidR="00181F3B">
        <w:rPr>
          <w:szCs w:val="36"/>
        </w:rPr>
        <w:t>will serve to further diversify and strengthen tribal economies.</w:t>
      </w:r>
    </w:p>
    <w:p w:rsidR="00342CA8" w:rsidRDefault="00342CA8" w:rsidP="0034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7066B1" w:rsidRPr="00342CA8" w:rsidRDefault="00CF0E35" w:rsidP="0034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t>In addition, we applaud the ongoing efforts of the</w:t>
      </w:r>
      <w:r w:rsidR="007066B1" w:rsidRPr="009C7935">
        <w:t xml:space="preserve"> NIGC </w:t>
      </w:r>
      <w:r w:rsidR="002218CB">
        <w:t xml:space="preserve">to adopt </w:t>
      </w:r>
      <w:r w:rsidR="007066B1" w:rsidRPr="009C7935">
        <w:t xml:space="preserve">a regulation </w:t>
      </w:r>
      <w:r w:rsidR="007066B1">
        <w:t>to implement the Buy Indian Act.  The Buy Indian Act, states simply: “so far as may be practicable Indian labor shall be employed, and purchases of the products of Indian industry may be made in open market in the discretion of t</w:t>
      </w:r>
      <w:r w:rsidR="002218CB">
        <w:t xml:space="preserve">he Secretary of the Interior.” </w:t>
      </w:r>
      <w:proofErr w:type="gramStart"/>
      <w:r w:rsidR="002218CB">
        <w:t>25 U.S.C. 47</w:t>
      </w:r>
      <w:r w:rsidR="007066B1">
        <w:t>.</w:t>
      </w:r>
      <w:proofErr w:type="gramEnd"/>
      <w:r w:rsidR="007066B1">
        <w:t xml:space="preserve">  Such a regulation should </w:t>
      </w:r>
      <w:r w:rsidR="007066B1" w:rsidRPr="009C7935">
        <w:t xml:space="preserve">give preference to qualified </w:t>
      </w:r>
      <w:r w:rsidR="007066B1">
        <w:t xml:space="preserve">tribal government-owned and individual </w:t>
      </w:r>
      <w:r w:rsidR="007066B1" w:rsidRPr="009C7935">
        <w:t xml:space="preserve">Indian-owned businesses when the NIGC </w:t>
      </w:r>
      <w:r w:rsidR="007066B1">
        <w:t>procures goods or services.</w:t>
      </w:r>
      <w:r w:rsidR="002218CB">
        <w:t xml:space="preserve">  These efforts fully comport with the stated goals of IGRA to foster tribal economic self-sufficiency.</w:t>
      </w:r>
    </w:p>
    <w:p w:rsidR="007066B1" w:rsidRDefault="007066B1"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181F3B" w:rsidRDefault="003E200F"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 xml:space="preserve">While much more must be done, </w:t>
      </w:r>
      <w:r w:rsidR="009E0EC2" w:rsidRPr="00461176">
        <w:rPr>
          <w:color w:val="000000"/>
        </w:rPr>
        <w:t xml:space="preserve">Indian gaming has proven to be one of the best available tools </w:t>
      </w:r>
      <w:r w:rsidR="00181F3B">
        <w:rPr>
          <w:color w:val="000000"/>
        </w:rPr>
        <w:t>for t</w:t>
      </w:r>
      <w:r w:rsidR="00076C9E" w:rsidRPr="00461176">
        <w:rPr>
          <w:color w:val="000000"/>
        </w:rPr>
        <w:t>ribal economic development</w:t>
      </w:r>
      <w:r>
        <w:rPr>
          <w:color w:val="000000"/>
        </w:rPr>
        <w:t>.</w:t>
      </w:r>
      <w:r w:rsidR="00DD09E6" w:rsidRPr="00461176">
        <w:rPr>
          <w:color w:val="000000"/>
        </w:rPr>
        <w:t xml:space="preserve"> </w:t>
      </w:r>
      <w:r>
        <w:rPr>
          <w:color w:val="000000"/>
        </w:rPr>
        <w:t xml:space="preserve"> </w:t>
      </w:r>
      <w:r w:rsidR="00DB2111" w:rsidRPr="00461176">
        <w:rPr>
          <w:color w:val="000000"/>
        </w:rPr>
        <w:t>Indian gaming ha</w:t>
      </w:r>
      <w:r w:rsidR="00DB2111">
        <w:rPr>
          <w:color w:val="000000"/>
        </w:rPr>
        <w:t>s helped many t</w:t>
      </w:r>
      <w:r w:rsidR="00DB2111" w:rsidRPr="00461176">
        <w:rPr>
          <w:color w:val="000000"/>
        </w:rPr>
        <w:t xml:space="preserve">ribes begin to rebuild communities that were </w:t>
      </w:r>
      <w:r>
        <w:rPr>
          <w:color w:val="000000"/>
        </w:rPr>
        <w:t>once</w:t>
      </w:r>
      <w:r w:rsidR="00DB2111" w:rsidRPr="00461176">
        <w:rPr>
          <w:color w:val="000000"/>
        </w:rPr>
        <w:t xml:space="preserve"> forgotten.</w:t>
      </w:r>
      <w:r w:rsidR="00DB2111">
        <w:rPr>
          <w:color w:val="000000"/>
        </w:rPr>
        <w:t xml:space="preserve"> Because of Indian gaming, our t</w:t>
      </w:r>
      <w:r w:rsidR="00DB2111" w:rsidRPr="00461176">
        <w:rPr>
          <w:color w:val="000000"/>
        </w:rPr>
        <w:t>ribal governments are stronger, our people are healthier</w:t>
      </w:r>
      <w:r>
        <w:rPr>
          <w:color w:val="000000"/>
        </w:rPr>
        <w:t>,</w:t>
      </w:r>
      <w:r w:rsidR="00DB2111" w:rsidRPr="00461176">
        <w:rPr>
          <w:color w:val="000000"/>
        </w:rPr>
        <w:t xml:space="preserve"> and </w:t>
      </w:r>
      <w:r>
        <w:rPr>
          <w:color w:val="000000"/>
        </w:rPr>
        <w:t>an entire generation of Indian youth has hope for a better future</w:t>
      </w:r>
      <w:r w:rsidR="00DB2111" w:rsidRPr="00461176">
        <w:rPr>
          <w:color w:val="000000"/>
        </w:rPr>
        <w:t>.</w:t>
      </w:r>
    </w:p>
    <w:p w:rsidR="00DB2111" w:rsidRDefault="00DB2111"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9E0EC2" w:rsidRPr="00461176" w:rsidRDefault="009E0EC2"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9E0EC2" w:rsidRPr="004D59FA" w:rsidRDefault="002218CB"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u w:val="single"/>
        </w:rPr>
      </w:pPr>
      <w:r>
        <w:rPr>
          <w:b/>
          <w:color w:val="000000"/>
          <w:u w:val="single"/>
        </w:rPr>
        <w:lastRenderedPageBreak/>
        <w:t>TRIBAL GOVERNMENT</w:t>
      </w:r>
      <w:r w:rsidR="004300B6" w:rsidRPr="004D59FA">
        <w:rPr>
          <w:b/>
          <w:color w:val="000000"/>
          <w:u w:val="single"/>
        </w:rPr>
        <w:t xml:space="preserve"> </w:t>
      </w:r>
      <w:r w:rsidR="00A27D26" w:rsidRPr="004D59FA">
        <w:rPr>
          <w:b/>
          <w:color w:val="000000"/>
          <w:u w:val="single"/>
        </w:rPr>
        <w:t xml:space="preserve">REGULATION </w:t>
      </w:r>
      <w:r>
        <w:rPr>
          <w:b/>
          <w:color w:val="000000"/>
          <w:u w:val="single"/>
        </w:rPr>
        <w:t>OF INDIAN GAMING</w:t>
      </w:r>
    </w:p>
    <w:p w:rsidR="00E00D77" w:rsidRPr="004D59FA" w:rsidRDefault="00E00D77" w:rsidP="00E00D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E00D77" w:rsidRPr="004D59FA" w:rsidRDefault="006222F5" w:rsidP="00E00D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t>That’s what is at stake.  Tribal governments realize that none of these benefits would be possible</w:t>
      </w:r>
      <w:r w:rsidR="00E51550">
        <w:t xml:space="preserve"> without a strong regulatory system to protect tribal revenue and to preserve the integrity of </w:t>
      </w:r>
      <w:r w:rsidR="00181F3B">
        <w:t>our</w:t>
      </w:r>
      <w:r w:rsidR="00E51550">
        <w:t xml:space="preserve"> operations. </w:t>
      </w:r>
    </w:p>
    <w:p w:rsidR="00E54B6A" w:rsidRPr="004D59FA" w:rsidRDefault="00E54B6A" w:rsidP="00E54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E54B6A" w:rsidRPr="004D59FA" w:rsidRDefault="00181F3B" w:rsidP="00E54B6A">
      <w:pPr>
        <w:pStyle w:val="BodyTextIndent"/>
        <w:ind w:left="0"/>
        <w:rPr>
          <w:szCs w:val="36"/>
        </w:rPr>
      </w:pPr>
      <w:r>
        <w:rPr>
          <w:szCs w:val="36"/>
        </w:rPr>
        <w:t xml:space="preserve">With regard to regulation, </w:t>
      </w:r>
      <w:r w:rsidR="00E54B6A" w:rsidRPr="004D59FA">
        <w:rPr>
          <w:szCs w:val="36"/>
        </w:rPr>
        <w:t>IGRA established a three-tiered system.  This Committee’s 1988 report on the Act makes clear the original intent</w:t>
      </w:r>
      <w:r w:rsidR="00E51550">
        <w:rPr>
          <w:szCs w:val="36"/>
        </w:rPr>
        <w:t xml:space="preserve"> for the regulatory system under the Act</w:t>
      </w:r>
      <w:r w:rsidR="00E54B6A" w:rsidRPr="004D59FA">
        <w:rPr>
          <w:szCs w:val="36"/>
        </w:rPr>
        <w:t>:</w:t>
      </w:r>
    </w:p>
    <w:p w:rsidR="00E54B6A" w:rsidRPr="004D59FA" w:rsidRDefault="00E54B6A" w:rsidP="00E54B6A">
      <w:pPr>
        <w:pStyle w:val="BodyTextIndent"/>
        <w:ind w:left="0"/>
        <w:rPr>
          <w:szCs w:val="36"/>
        </w:rPr>
      </w:pPr>
    </w:p>
    <w:p w:rsidR="00E54B6A" w:rsidRPr="004D59FA" w:rsidRDefault="00E54B6A" w:rsidP="00AD4EB1">
      <w:pPr>
        <w:pStyle w:val="BodyTextIndent"/>
        <w:ind w:left="576" w:right="576"/>
        <w:rPr>
          <w:szCs w:val="36"/>
        </w:rPr>
      </w:pPr>
      <w:r w:rsidRPr="004D59FA">
        <w:rPr>
          <w:szCs w:val="36"/>
        </w:rPr>
        <w:t>“[IGRA] provides for a system of joint regulation by tribe and the federal government for class II gaming on Indian lands and a system of compacts between tribes and states for regulation of class III gaming.  The bill establishes the NIGC as an independent agency within the Department of the Interior.  The Commission will have a regulatory role for class II gaming and an oversight role with respect to class III gaming.”</w:t>
      </w:r>
    </w:p>
    <w:p w:rsidR="003A30E3" w:rsidRPr="004D59FA" w:rsidRDefault="003A30E3" w:rsidP="00E54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DD60BA" w:rsidRPr="004D59FA" w:rsidRDefault="00DD60BA"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D59FA">
        <w:rPr>
          <w:color w:val="000000"/>
        </w:rPr>
        <w:t xml:space="preserve">Senate Report 100-446, </w:t>
      </w:r>
      <w:r w:rsidR="00115C51" w:rsidRPr="004D59FA">
        <w:rPr>
          <w:color w:val="000000"/>
        </w:rPr>
        <w:t xml:space="preserve">at </w:t>
      </w:r>
      <w:r w:rsidRPr="004D59FA">
        <w:rPr>
          <w:color w:val="000000"/>
        </w:rPr>
        <w:t xml:space="preserve">1 (Aug. 3, 1988).  </w:t>
      </w:r>
    </w:p>
    <w:p w:rsidR="00A85F89" w:rsidRDefault="00A85F89"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A85F89" w:rsidRDefault="00691FC7"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This regulatory system</w:t>
      </w:r>
      <w:r w:rsidR="00A85F89">
        <w:rPr>
          <w:color w:val="000000"/>
        </w:rPr>
        <w:t xml:space="preserve"> vests local tribal government regulators with the primary day-to-day responsibility for regulating Indian gaming operations. </w:t>
      </w:r>
      <w:r w:rsidR="00A85F89">
        <w:t>This only makes sense, because n</w:t>
      </w:r>
      <w:r w:rsidR="00A85F89" w:rsidRPr="00D850D0">
        <w:t>o one has a greater interest in protecting the integrity of Indian gaming than tribes.</w:t>
      </w:r>
    </w:p>
    <w:p w:rsidR="00DD60BA" w:rsidRDefault="00DD60BA" w:rsidP="00CF75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DD60BA" w:rsidRDefault="00DD60BA" w:rsidP="00DD6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 xml:space="preserve">This framework contrasts from the failed framework of criminal jurisdiction in Indian country where tribes rely on federal officials to investigate and prosecute crimes that occur on Indian lands from offices and courtrooms that are often located hundreds of miles from Indian country.  Despite recent reforms, this system is a proven failure. </w:t>
      </w:r>
      <w:r w:rsidR="00A85F89">
        <w:rPr>
          <w:color w:val="000000"/>
        </w:rPr>
        <w:t xml:space="preserve"> Washington, D.C. is simply not eq</w:t>
      </w:r>
      <w:r w:rsidR="004D59FA">
        <w:rPr>
          <w:color w:val="000000"/>
        </w:rPr>
        <w:t xml:space="preserve">uipped to police Indian </w:t>
      </w:r>
      <w:r w:rsidR="00181F3B">
        <w:rPr>
          <w:color w:val="000000"/>
        </w:rPr>
        <w:t>lands or make local decisions for tribal communities.</w:t>
      </w:r>
    </w:p>
    <w:p w:rsidR="004D59FA" w:rsidRDefault="004D59FA" w:rsidP="00DD6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691FC7" w:rsidRDefault="00691FC7" w:rsidP="004D5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 xml:space="preserve">While tribes </w:t>
      </w:r>
      <w:r w:rsidR="00181F3B">
        <w:rPr>
          <w:color w:val="000000"/>
        </w:rPr>
        <w:t>take</w:t>
      </w:r>
      <w:r w:rsidR="00930C14">
        <w:rPr>
          <w:color w:val="000000"/>
        </w:rPr>
        <w:t xml:space="preserve"> on</w:t>
      </w:r>
      <w:r>
        <w:rPr>
          <w:color w:val="000000"/>
        </w:rPr>
        <w:t xml:space="preserve"> the primary day-to-day role </w:t>
      </w:r>
      <w:r w:rsidR="00930C14">
        <w:rPr>
          <w:color w:val="000000"/>
        </w:rPr>
        <w:t xml:space="preserve">of regulating </w:t>
      </w:r>
      <w:r>
        <w:rPr>
          <w:color w:val="000000"/>
        </w:rPr>
        <w:t xml:space="preserve">Indian gaming operations, </w:t>
      </w:r>
      <w:r w:rsidR="00181F3B">
        <w:rPr>
          <w:color w:val="000000"/>
        </w:rPr>
        <w:t>IGRA requires</w:t>
      </w:r>
      <w:r>
        <w:rPr>
          <w:color w:val="000000"/>
        </w:rPr>
        <w:t xml:space="preserve"> on </w:t>
      </w:r>
      <w:r w:rsidRPr="004D59FA">
        <w:rPr>
          <w:color w:val="000000"/>
        </w:rPr>
        <w:t xml:space="preserve">coordination and cooperation </w:t>
      </w:r>
      <w:r w:rsidR="00930C14">
        <w:rPr>
          <w:color w:val="000000"/>
        </w:rPr>
        <w:t xml:space="preserve">with the federal and state governments (in the case of class III gaming) </w:t>
      </w:r>
      <w:r w:rsidRPr="004D59FA">
        <w:rPr>
          <w:color w:val="000000"/>
        </w:rPr>
        <w:t>to make this comprehensive regulatory system work.  The tribal, state, and the federal governments must all work hand-in-hand to ensure the effective regulation of Indian gaming.</w:t>
      </w:r>
    </w:p>
    <w:p w:rsidR="004D59FA" w:rsidRDefault="004D59FA" w:rsidP="004D5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4D59FA" w:rsidRPr="00115C51" w:rsidRDefault="00691FC7" w:rsidP="004D5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t xml:space="preserve">Under the Act, the </w:t>
      </w:r>
      <w:r w:rsidR="004D59FA" w:rsidRPr="00461176">
        <w:t xml:space="preserve">NIGC has direct authority to monitor class II gaming on Indian lands on a continuing basis and has full authority to inspect and examine all premises on which class II gaming is being conducted. </w:t>
      </w:r>
    </w:p>
    <w:p w:rsidR="004D59FA" w:rsidRDefault="004D59FA" w:rsidP="004D59FA">
      <w:pPr>
        <w:jc w:val="both"/>
      </w:pPr>
    </w:p>
    <w:p w:rsidR="004D59FA" w:rsidRPr="00461176" w:rsidRDefault="004D59FA" w:rsidP="004D59FA">
      <w:pPr>
        <w:jc w:val="both"/>
      </w:pPr>
      <w:r>
        <w:t>Class III gaming is primarily regulated through a</w:t>
      </w:r>
      <w:r w:rsidRPr="00461176">
        <w:t xml:space="preserve"> framework established </w:t>
      </w:r>
      <w:r>
        <w:t xml:space="preserve">through </w:t>
      </w:r>
      <w:r w:rsidR="00181F3B">
        <w:t xml:space="preserve">individual </w:t>
      </w:r>
      <w:r>
        <w:t>tribal-state gaming c</w:t>
      </w:r>
      <w:r w:rsidR="00691FC7">
        <w:t>ompacts</w:t>
      </w:r>
      <w:r>
        <w:t xml:space="preserve">.  Here the two sovereigns </w:t>
      </w:r>
      <w:r w:rsidR="00691FC7">
        <w:t>agree upon</w:t>
      </w:r>
      <w:r>
        <w:t xml:space="preserve"> a framework </w:t>
      </w:r>
      <w:r w:rsidR="00691FC7">
        <w:t>to regulate class III gaming</w:t>
      </w:r>
      <w:r>
        <w:t xml:space="preserve"> based on </w:t>
      </w:r>
      <w:r w:rsidR="00691FC7">
        <w:t>arms length negotiations.</w:t>
      </w:r>
      <w:r>
        <w:t xml:space="preserve"> </w:t>
      </w:r>
      <w:r w:rsidR="00691FC7">
        <w:t>As noted above, Congress intended that the NIGC would maintain an oversight of class III gaming.  As a result, under the Act, the NIGC</w:t>
      </w:r>
      <w:r>
        <w:t>:</w:t>
      </w:r>
    </w:p>
    <w:p w:rsidR="004D59FA" w:rsidRPr="00461176" w:rsidRDefault="004D59FA" w:rsidP="004D59FA">
      <w:pPr>
        <w:ind w:firstLine="720"/>
        <w:jc w:val="both"/>
      </w:pPr>
    </w:p>
    <w:p w:rsidR="004D59FA" w:rsidRPr="00461176" w:rsidRDefault="004D59FA" w:rsidP="004D59FA">
      <w:pPr>
        <w:numPr>
          <w:ilvl w:val="0"/>
          <w:numId w:val="3"/>
        </w:numPr>
        <w:jc w:val="both"/>
      </w:pPr>
      <w:r>
        <w:t>reviews and approves c</w:t>
      </w:r>
      <w:r w:rsidRPr="00461176">
        <w:t>lass III tribal gaming regulatory laws</w:t>
      </w:r>
      <w:r>
        <w:t xml:space="preserve"> and ordinances</w:t>
      </w:r>
      <w:r w:rsidRPr="00461176">
        <w:t xml:space="preserve">; </w:t>
      </w:r>
    </w:p>
    <w:p w:rsidR="004D59FA" w:rsidRPr="00461176" w:rsidRDefault="004D59FA" w:rsidP="004D59FA">
      <w:pPr>
        <w:numPr>
          <w:ilvl w:val="0"/>
          <w:numId w:val="3"/>
        </w:numPr>
        <w:jc w:val="both"/>
      </w:pPr>
      <w:r w:rsidRPr="00461176">
        <w:t>reviews tribal background checks and gaming licenses</w:t>
      </w:r>
      <w:r>
        <w:t xml:space="preserve"> of class III gaming personnel</w:t>
      </w:r>
      <w:r w:rsidRPr="00461176">
        <w:t>;</w:t>
      </w:r>
    </w:p>
    <w:p w:rsidR="004D59FA" w:rsidRPr="00461176" w:rsidRDefault="004D59FA" w:rsidP="004D59FA">
      <w:pPr>
        <w:numPr>
          <w:ilvl w:val="0"/>
          <w:numId w:val="3"/>
        </w:numPr>
        <w:jc w:val="both"/>
      </w:pPr>
      <w:r>
        <w:t>receives and reviews annual independent</w:t>
      </w:r>
      <w:r w:rsidRPr="00461176">
        <w:t xml:space="preserve"> audits of triba</w:t>
      </w:r>
      <w:r>
        <w:t>l gaming facilities, including c</w:t>
      </w:r>
      <w:r w:rsidRPr="00461176">
        <w:t xml:space="preserve">lass III gaming </w:t>
      </w:r>
      <w:r>
        <w:t>(</w:t>
      </w:r>
      <w:r w:rsidRPr="00461176">
        <w:t>all contracts for supplies and services over $25,000 annually are subject to those audits</w:t>
      </w:r>
      <w:r>
        <w:t>)</w:t>
      </w:r>
      <w:r w:rsidRPr="00461176">
        <w:t>;</w:t>
      </w:r>
    </w:p>
    <w:p w:rsidR="004D59FA" w:rsidRPr="00461176" w:rsidRDefault="004D59FA" w:rsidP="004D59FA">
      <w:pPr>
        <w:numPr>
          <w:ilvl w:val="0"/>
          <w:numId w:val="3"/>
        </w:numPr>
        <w:jc w:val="both"/>
      </w:pPr>
      <w:r w:rsidRPr="00461176">
        <w:t>approves</w:t>
      </w:r>
      <w:r>
        <w:t xml:space="preserve"> all tribal</w:t>
      </w:r>
      <w:r w:rsidRPr="00461176">
        <w:t xml:space="preserve"> management contracts; and </w:t>
      </w:r>
    </w:p>
    <w:p w:rsidR="004D59FA" w:rsidRPr="004E31B0" w:rsidRDefault="004D59FA" w:rsidP="004D59FA">
      <w:pPr>
        <w:numPr>
          <w:ilvl w:val="0"/>
          <w:numId w:val="3"/>
        </w:numPr>
        <w:jc w:val="both"/>
      </w:pPr>
      <w:proofErr w:type="gramStart"/>
      <w:r w:rsidRPr="00461176">
        <w:t>works</w:t>
      </w:r>
      <w:proofErr w:type="gramEnd"/>
      <w:r w:rsidRPr="004E31B0">
        <w:t xml:space="preserve"> with tribal gaming regulatory agencies to ensure proper implementation of tribal gaming regulatory ordinances.</w:t>
      </w:r>
    </w:p>
    <w:p w:rsidR="00691FC7" w:rsidRDefault="00691FC7" w:rsidP="00DD6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D53005" w:rsidRPr="00691FC7" w:rsidRDefault="00691FC7" w:rsidP="00691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t>This comprehensive</w:t>
      </w:r>
      <w:r w:rsidRPr="004D59FA">
        <w:t xml:space="preserve"> system </w:t>
      </w:r>
      <w:r>
        <w:t xml:space="preserve">of regulation </w:t>
      </w:r>
      <w:r w:rsidRPr="004D59FA">
        <w:t xml:space="preserve">is </w:t>
      </w:r>
      <w:r>
        <w:t>expensive</w:t>
      </w:r>
      <w:r w:rsidRPr="004D59FA">
        <w:t xml:space="preserve"> and time consuming, but tribal leaders know</w:t>
      </w:r>
      <w:r w:rsidR="00181F3B">
        <w:t xml:space="preserve"> what’s at stake and know</w:t>
      </w:r>
      <w:r w:rsidRPr="004D59FA">
        <w:t xml:space="preserve"> </w:t>
      </w:r>
      <w:r w:rsidR="00181F3B">
        <w:t>that strong regulation</w:t>
      </w:r>
      <w:r>
        <w:t xml:space="preserve"> is the cost of a successful operation.</w:t>
      </w:r>
      <w:r>
        <w:rPr>
          <w:color w:val="000000"/>
        </w:rPr>
        <w:t xml:space="preserve">  </w:t>
      </w:r>
      <w:r w:rsidR="00A85F89">
        <w:rPr>
          <w:color w:val="000000"/>
        </w:rPr>
        <w:t xml:space="preserve">Despite the Recession, </w:t>
      </w:r>
      <w:r w:rsidR="00A85F89">
        <w:rPr>
          <w:rFonts w:eastAsia="Cambria"/>
        </w:rPr>
        <w:t>t</w:t>
      </w:r>
      <w:r w:rsidR="00D53005" w:rsidRPr="00461176">
        <w:rPr>
          <w:rFonts w:eastAsia="Cambria"/>
        </w:rPr>
        <w:t xml:space="preserve">ribal governments have </w:t>
      </w:r>
      <w:r w:rsidR="00F32CAB">
        <w:rPr>
          <w:rFonts w:eastAsia="Cambria"/>
        </w:rPr>
        <w:t>continue</w:t>
      </w:r>
      <w:r w:rsidR="00A85F89">
        <w:rPr>
          <w:rFonts w:eastAsia="Cambria"/>
        </w:rPr>
        <w:t>d</w:t>
      </w:r>
      <w:r w:rsidR="00F32CAB">
        <w:rPr>
          <w:rFonts w:eastAsia="Cambria"/>
        </w:rPr>
        <w:t xml:space="preserve"> to dedicate</w:t>
      </w:r>
      <w:r w:rsidR="00D53005" w:rsidRPr="00461176">
        <w:rPr>
          <w:rFonts w:eastAsia="Cambria"/>
        </w:rPr>
        <w:t xml:space="preserve"> tremendous resources to t</w:t>
      </w:r>
      <w:r w:rsidR="006B5D8A">
        <w:rPr>
          <w:rFonts w:eastAsia="Cambria"/>
        </w:rPr>
        <w:t>he regulation of Indian gaming.</w:t>
      </w:r>
      <w:r w:rsidR="00D53005" w:rsidRPr="00461176">
        <w:rPr>
          <w:rFonts w:eastAsia="Cambria"/>
        </w:rPr>
        <w:t xml:space="preserve"> </w:t>
      </w:r>
      <w:r w:rsidR="00A85F89">
        <w:rPr>
          <w:rFonts w:eastAsia="Cambria"/>
        </w:rPr>
        <w:t xml:space="preserve"> In 2010, t</w:t>
      </w:r>
      <w:r w:rsidR="00D53005" w:rsidRPr="00461176">
        <w:rPr>
          <w:rFonts w:eastAsia="Cambria"/>
        </w:rPr>
        <w:t xml:space="preserve">ribes spent </w:t>
      </w:r>
      <w:r w:rsidR="00F32CAB">
        <w:rPr>
          <w:rFonts w:eastAsia="Cambria"/>
        </w:rPr>
        <w:t>more than $345</w:t>
      </w:r>
      <w:r w:rsidR="00D53005" w:rsidRPr="00461176">
        <w:rPr>
          <w:rFonts w:eastAsia="Cambria"/>
        </w:rPr>
        <w:t xml:space="preserve"> million on tribal,</w:t>
      </w:r>
      <w:r>
        <w:rPr>
          <w:rFonts w:eastAsia="Cambria"/>
        </w:rPr>
        <w:t xml:space="preserve"> state, and f</w:t>
      </w:r>
      <w:r w:rsidR="004D59FA">
        <w:rPr>
          <w:rFonts w:eastAsia="Cambria"/>
        </w:rPr>
        <w:t>ederal regulation:</w:t>
      </w:r>
    </w:p>
    <w:p w:rsidR="00D53005" w:rsidRPr="00461176" w:rsidRDefault="00D53005" w:rsidP="004D59FA">
      <w:pPr>
        <w:rPr>
          <w:rFonts w:eastAsia="Cambria"/>
        </w:rPr>
      </w:pPr>
    </w:p>
    <w:p w:rsidR="00D53005" w:rsidRPr="00461176" w:rsidRDefault="00D53005" w:rsidP="00D53005">
      <w:pPr>
        <w:numPr>
          <w:ilvl w:val="0"/>
          <w:numId w:val="2"/>
        </w:numPr>
        <w:rPr>
          <w:rFonts w:eastAsia="Cambria"/>
        </w:rPr>
      </w:pPr>
      <w:r w:rsidRPr="00461176">
        <w:rPr>
          <w:rFonts w:eastAsia="Cambria"/>
        </w:rPr>
        <w:t>$2</w:t>
      </w:r>
      <w:r w:rsidRPr="00461176">
        <w:t>5</w:t>
      </w:r>
      <w:r w:rsidRPr="00461176">
        <w:rPr>
          <w:rFonts w:eastAsia="Cambria"/>
        </w:rPr>
        <w:t xml:space="preserve">0 million to fund tribal government gaming regulatory agencies; </w:t>
      </w:r>
    </w:p>
    <w:p w:rsidR="00D53005" w:rsidRPr="00461176" w:rsidRDefault="00D53005" w:rsidP="00D53005">
      <w:pPr>
        <w:numPr>
          <w:ilvl w:val="0"/>
          <w:numId w:val="2"/>
        </w:numPr>
        <w:rPr>
          <w:rFonts w:eastAsia="Cambria"/>
        </w:rPr>
      </w:pPr>
      <w:r w:rsidRPr="00461176">
        <w:rPr>
          <w:rFonts w:eastAsia="Cambria"/>
        </w:rPr>
        <w:t>$80 million to reimburse states for s</w:t>
      </w:r>
      <w:r w:rsidR="00DB3D82">
        <w:rPr>
          <w:rFonts w:eastAsia="Cambria"/>
        </w:rPr>
        <w:t>tate regulatory activities negotiated and agreed to pursuant to approved t</w:t>
      </w:r>
      <w:r w:rsidRPr="00461176">
        <w:rPr>
          <w:rFonts w:eastAsia="Cambria"/>
        </w:rPr>
        <w:t>ribal</w:t>
      </w:r>
      <w:r w:rsidR="00DB3D82">
        <w:rPr>
          <w:rFonts w:eastAsia="Cambria"/>
        </w:rPr>
        <w:t>-state class III gaming compact</w:t>
      </w:r>
      <w:r w:rsidRPr="00461176">
        <w:rPr>
          <w:rFonts w:eastAsia="Cambria"/>
        </w:rPr>
        <w:t xml:space="preserve">s; and </w:t>
      </w:r>
    </w:p>
    <w:p w:rsidR="00D53005" w:rsidRPr="00461176" w:rsidRDefault="00D53005" w:rsidP="00D53005">
      <w:pPr>
        <w:numPr>
          <w:ilvl w:val="0"/>
          <w:numId w:val="2"/>
        </w:numPr>
        <w:rPr>
          <w:rFonts w:eastAsia="Cambria"/>
        </w:rPr>
      </w:pPr>
      <w:r w:rsidRPr="00461176">
        <w:rPr>
          <w:rFonts w:eastAsia="Cambria"/>
        </w:rPr>
        <w:t xml:space="preserve">$16 million </w:t>
      </w:r>
      <w:r w:rsidR="00DB3D82">
        <w:rPr>
          <w:rFonts w:eastAsia="Cambria"/>
        </w:rPr>
        <w:t>to fully fund the operations and activities of the National Indian Gaming Commission</w:t>
      </w:r>
      <w:r w:rsidR="004D59FA">
        <w:rPr>
          <w:rFonts w:eastAsia="Cambria"/>
        </w:rPr>
        <w:t>.</w:t>
      </w:r>
    </w:p>
    <w:p w:rsidR="00D53005" w:rsidRPr="00461176" w:rsidRDefault="00D53005" w:rsidP="00D53005">
      <w:pPr>
        <w:rPr>
          <w:rFonts w:eastAsia="Cambria"/>
        </w:rPr>
      </w:pPr>
    </w:p>
    <w:p w:rsidR="00E81E0A" w:rsidRDefault="00F32CAB" w:rsidP="004300B6">
      <w:pPr>
        <w:rPr>
          <w:rFonts w:eastAsia="Cambria"/>
        </w:rPr>
      </w:pPr>
      <w:r>
        <w:rPr>
          <w:rFonts w:eastAsia="Cambria"/>
        </w:rPr>
        <w:t xml:space="preserve">The Indian gaming regulatory system employs </w:t>
      </w:r>
      <w:r w:rsidR="00DD09E6" w:rsidRPr="00461176">
        <w:rPr>
          <w:rFonts w:eastAsia="Cambria"/>
        </w:rPr>
        <w:t>more than 3,</w:t>
      </w:r>
      <w:r w:rsidR="00461176">
        <w:rPr>
          <w:rFonts w:eastAsia="Cambria"/>
        </w:rPr>
        <w:t>4</w:t>
      </w:r>
      <w:r w:rsidR="00DD09E6" w:rsidRPr="00461176">
        <w:rPr>
          <w:rFonts w:eastAsia="Cambria"/>
        </w:rPr>
        <w:t>0</w:t>
      </w:r>
      <w:r w:rsidR="00D53005" w:rsidRPr="00461176">
        <w:rPr>
          <w:rFonts w:eastAsia="Cambria"/>
        </w:rPr>
        <w:t>0 expert regulators an</w:t>
      </w:r>
      <w:r>
        <w:rPr>
          <w:rFonts w:eastAsia="Cambria"/>
        </w:rPr>
        <w:t xml:space="preserve">d staff </w:t>
      </w:r>
      <w:r w:rsidR="00181F3B">
        <w:rPr>
          <w:rFonts w:eastAsia="Cambria"/>
        </w:rPr>
        <w:t xml:space="preserve">to </w:t>
      </w:r>
      <w:r>
        <w:rPr>
          <w:rFonts w:eastAsia="Cambria"/>
        </w:rPr>
        <w:t xml:space="preserve">protect Indian gaming.  </w:t>
      </w:r>
      <w:r w:rsidR="00D53005" w:rsidRPr="00461176">
        <w:rPr>
          <w:rFonts w:eastAsia="Cambria"/>
        </w:rPr>
        <w:t>Tribal governments employ</w:t>
      </w:r>
      <w:r>
        <w:rPr>
          <w:rFonts w:eastAsia="Cambria"/>
        </w:rPr>
        <w:t xml:space="preserve"> approximately</w:t>
      </w:r>
      <w:r w:rsidR="00D53005" w:rsidRPr="00461176">
        <w:rPr>
          <w:rFonts w:eastAsia="Cambria"/>
        </w:rPr>
        <w:t xml:space="preserve"> </w:t>
      </w:r>
      <w:r w:rsidRPr="00461176">
        <w:rPr>
          <w:rFonts w:eastAsia="Cambria"/>
        </w:rPr>
        <w:t>2,800 gaming regulators and staff</w:t>
      </w:r>
      <w:r>
        <w:rPr>
          <w:rFonts w:eastAsia="Cambria"/>
        </w:rPr>
        <w:t>.  Among the ranks of tribal regulators are</w:t>
      </w:r>
      <w:r w:rsidRPr="00461176">
        <w:rPr>
          <w:rFonts w:eastAsia="Cambria"/>
        </w:rPr>
        <w:t xml:space="preserve"> </w:t>
      </w:r>
      <w:r w:rsidR="00D53005" w:rsidRPr="00461176">
        <w:rPr>
          <w:rFonts w:eastAsia="Cambria"/>
        </w:rPr>
        <w:t>former FBI agents, BIA, tribal and state police</w:t>
      </w:r>
      <w:r w:rsidR="004300B6">
        <w:rPr>
          <w:rFonts w:eastAsia="Cambria"/>
        </w:rPr>
        <w:t xml:space="preserve"> officers</w:t>
      </w:r>
      <w:r w:rsidR="00D53005" w:rsidRPr="00461176">
        <w:rPr>
          <w:rFonts w:eastAsia="Cambria"/>
        </w:rPr>
        <w:t xml:space="preserve">, </w:t>
      </w:r>
      <w:r w:rsidR="004300B6">
        <w:rPr>
          <w:rFonts w:eastAsia="Cambria"/>
        </w:rPr>
        <w:t>former</w:t>
      </w:r>
      <w:r w:rsidR="00D53005" w:rsidRPr="00461176">
        <w:rPr>
          <w:rFonts w:eastAsia="Cambria"/>
        </w:rPr>
        <w:t xml:space="preserve"> state </w:t>
      </w:r>
      <w:r w:rsidR="004300B6">
        <w:rPr>
          <w:rFonts w:eastAsia="Cambria"/>
        </w:rPr>
        <w:t xml:space="preserve">gaming compliance </w:t>
      </w:r>
      <w:r w:rsidR="00D53005" w:rsidRPr="00461176">
        <w:rPr>
          <w:rFonts w:eastAsia="Cambria"/>
        </w:rPr>
        <w:t>regulators, military officers, accountants, auditors, attorneys</w:t>
      </w:r>
      <w:r>
        <w:rPr>
          <w:rFonts w:eastAsia="Cambria"/>
        </w:rPr>
        <w:t xml:space="preserve"> </w:t>
      </w:r>
      <w:r w:rsidR="004300B6">
        <w:rPr>
          <w:rFonts w:eastAsia="Cambria"/>
        </w:rPr>
        <w:t>and bank surveillance officers.  In addition, s</w:t>
      </w:r>
      <w:r w:rsidR="00D53005" w:rsidRPr="00461176">
        <w:rPr>
          <w:rFonts w:eastAsia="Cambria"/>
        </w:rPr>
        <w:t>tate governments employ more than 500 state gaming regulators, staff and law enforcement officers to hel</w:t>
      </w:r>
      <w:r w:rsidR="004300B6">
        <w:rPr>
          <w:rFonts w:eastAsia="Cambria"/>
        </w:rPr>
        <w:t xml:space="preserve">p tribes regulate Indian gaming. </w:t>
      </w:r>
      <w:r w:rsidR="00181F3B">
        <w:rPr>
          <w:rFonts w:eastAsia="Cambria"/>
        </w:rPr>
        <w:t xml:space="preserve"> A</w:t>
      </w:r>
      <w:r w:rsidR="004300B6">
        <w:rPr>
          <w:rFonts w:eastAsia="Cambria"/>
        </w:rPr>
        <w:t>t the f</w:t>
      </w:r>
      <w:r w:rsidR="00D53005" w:rsidRPr="00461176">
        <w:rPr>
          <w:rFonts w:eastAsia="Cambria"/>
        </w:rPr>
        <w:t>ederal level, the NIGC employs more than 100 regulators and staff.</w:t>
      </w:r>
    </w:p>
    <w:p w:rsidR="00E81E0A" w:rsidRDefault="00E81E0A" w:rsidP="004300B6">
      <w:pPr>
        <w:rPr>
          <w:rFonts w:eastAsia="Cambria"/>
        </w:rPr>
      </w:pPr>
    </w:p>
    <w:p w:rsidR="00D53005" w:rsidRPr="00461176" w:rsidRDefault="00E81E0A" w:rsidP="004300B6">
      <w:pPr>
        <w:rPr>
          <w:rFonts w:eastAsia="Cambria"/>
        </w:rPr>
      </w:pPr>
      <w:r>
        <w:rPr>
          <w:rFonts w:eastAsia="Cambria"/>
        </w:rPr>
        <w:t xml:space="preserve">In addition to the NIGC, a number of other federal officials help regulate and protect Indian gaming operations.  Tribes work with the FBI and U.S. Attorneys offices to </w:t>
      </w:r>
      <w:r w:rsidR="00B52E78">
        <w:rPr>
          <w:rFonts w:eastAsia="Cambria"/>
        </w:rPr>
        <w:t>investigate and</w:t>
      </w:r>
      <w:r w:rsidR="00B52E78" w:rsidRPr="00461176">
        <w:rPr>
          <w:rFonts w:eastAsia="Cambria"/>
        </w:rPr>
        <w:t xml:space="preserve"> prosecute anyone who would cheat, embezzle, or defraud an Indian gaming facility – this applies to management, employees, and patrons. </w:t>
      </w:r>
      <w:proofErr w:type="gramStart"/>
      <w:r w:rsidR="00B52E78" w:rsidRPr="00461176">
        <w:rPr>
          <w:rFonts w:eastAsia="Cambria"/>
        </w:rPr>
        <w:t xml:space="preserve">18 U.S.C. </w:t>
      </w:r>
      <w:r w:rsidR="00B52E78">
        <w:rPr>
          <w:rFonts w:eastAsia="Cambria"/>
        </w:rPr>
        <w:t>§</w:t>
      </w:r>
      <w:r w:rsidR="00B52E78" w:rsidRPr="00461176">
        <w:rPr>
          <w:rFonts w:eastAsia="Cambria"/>
        </w:rPr>
        <w:t>1163.</w:t>
      </w:r>
      <w:proofErr w:type="gramEnd"/>
      <w:r w:rsidR="00B52E78" w:rsidRPr="00461176">
        <w:rPr>
          <w:rFonts w:eastAsia="Cambria"/>
        </w:rPr>
        <w:t xml:space="preserve"> </w:t>
      </w:r>
      <w:r>
        <w:rPr>
          <w:rFonts w:eastAsia="Cambria"/>
        </w:rPr>
        <w:t xml:space="preserve">Tribal regulators also work with the </w:t>
      </w:r>
      <w:r w:rsidR="00B52E78">
        <w:rPr>
          <w:rFonts w:eastAsia="Cambria"/>
        </w:rPr>
        <w:t xml:space="preserve">Treasury Department’s </w:t>
      </w:r>
      <w:r>
        <w:rPr>
          <w:rFonts w:eastAsia="Cambria"/>
        </w:rPr>
        <w:t xml:space="preserve">Internal Revenues Service </w:t>
      </w:r>
      <w:r w:rsidR="00B52E78">
        <w:rPr>
          <w:rFonts w:eastAsia="Cambria"/>
        </w:rPr>
        <w:t xml:space="preserve">to ensure federal tax compliance </w:t>
      </w:r>
      <w:r>
        <w:rPr>
          <w:rFonts w:eastAsia="Cambria"/>
        </w:rPr>
        <w:t>and the Financial Crimes Enforcement Network (</w:t>
      </w:r>
      <w:proofErr w:type="spellStart"/>
      <w:r>
        <w:rPr>
          <w:rFonts w:eastAsia="Cambria"/>
        </w:rPr>
        <w:t>FinCEN</w:t>
      </w:r>
      <w:proofErr w:type="spellEnd"/>
      <w:r>
        <w:rPr>
          <w:rFonts w:eastAsia="Cambria"/>
        </w:rPr>
        <w:t xml:space="preserve">) </w:t>
      </w:r>
      <w:r w:rsidR="00B52E78">
        <w:rPr>
          <w:rFonts w:eastAsia="Cambria"/>
        </w:rPr>
        <w:t>to prevent money laundering.  Finally, tribes work with t</w:t>
      </w:r>
      <w:r>
        <w:rPr>
          <w:rFonts w:eastAsia="Cambria"/>
        </w:rPr>
        <w:t>he Secret Service to pr</w:t>
      </w:r>
      <w:r w:rsidR="00B52E78">
        <w:rPr>
          <w:rFonts w:eastAsia="Cambria"/>
        </w:rPr>
        <w:t>event counterfeiting.</w:t>
      </w:r>
    </w:p>
    <w:p w:rsidR="00D53005" w:rsidRPr="00D850D0" w:rsidRDefault="00D53005" w:rsidP="00D53005">
      <w:pPr>
        <w:rPr>
          <w:rFonts w:eastAsia="Cambria"/>
        </w:rPr>
      </w:pPr>
    </w:p>
    <w:p w:rsidR="00930C14" w:rsidRDefault="00D53005" w:rsidP="00930C14">
      <w:pPr>
        <w:rPr>
          <w:rFonts w:eastAsia="Cambria"/>
        </w:rPr>
      </w:pPr>
      <w:r w:rsidRPr="00D850D0">
        <w:rPr>
          <w:rFonts w:eastAsia="Cambria"/>
        </w:rPr>
        <w:t xml:space="preserve">Tribal governments </w:t>
      </w:r>
      <w:r w:rsidR="00D850D0">
        <w:rPr>
          <w:rFonts w:eastAsia="Cambria"/>
        </w:rPr>
        <w:t>have also invested heavily in</w:t>
      </w:r>
      <w:r w:rsidRPr="00D850D0">
        <w:rPr>
          <w:rFonts w:eastAsia="Cambria"/>
        </w:rPr>
        <w:t xml:space="preserve"> </w:t>
      </w:r>
      <w:r w:rsidR="00D850D0">
        <w:rPr>
          <w:rFonts w:eastAsia="Cambria"/>
        </w:rPr>
        <w:t xml:space="preserve">high tech </w:t>
      </w:r>
      <w:r w:rsidRPr="00D850D0">
        <w:rPr>
          <w:rFonts w:eastAsia="Cambria"/>
        </w:rPr>
        <w:t>state-of-the-art surveillance and security equipment</w:t>
      </w:r>
      <w:r w:rsidR="00D850D0">
        <w:rPr>
          <w:rFonts w:eastAsia="Cambria"/>
        </w:rPr>
        <w:t>, and employ</w:t>
      </w:r>
      <w:r w:rsidR="00D850D0" w:rsidRPr="00D850D0">
        <w:rPr>
          <w:rFonts w:cs="Verdana"/>
          <w:szCs w:val="22"/>
        </w:rPr>
        <w:t xml:space="preserve"> profes</w:t>
      </w:r>
      <w:r w:rsidR="00D850D0">
        <w:rPr>
          <w:rFonts w:cs="Verdana"/>
          <w:szCs w:val="22"/>
        </w:rPr>
        <w:t>sional personnel to operate these systems</w:t>
      </w:r>
      <w:r w:rsidR="00D850D0" w:rsidRPr="00D850D0">
        <w:rPr>
          <w:rFonts w:cs="Verdana"/>
          <w:szCs w:val="22"/>
        </w:rPr>
        <w:t xml:space="preserve">. </w:t>
      </w:r>
      <w:r w:rsidR="00D850D0">
        <w:rPr>
          <w:rFonts w:cs="Verdana"/>
          <w:szCs w:val="22"/>
        </w:rPr>
        <w:t>Tribal</w:t>
      </w:r>
      <w:r w:rsidR="00D850D0" w:rsidRPr="00D850D0">
        <w:rPr>
          <w:rFonts w:cs="Verdana"/>
          <w:szCs w:val="22"/>
        </w:rPr>
        <w:t xml:space="preserve"> surveillance system</w:t>
      </w:r>
      <w:r w:rsidR="00D850D0">
        <w:rPr>
          <w:rFonts w:cs="Verdana"/>
          <w:szCs w:val="22"/>
        </w:rPr>
        <w:t>s are</w:t>
      </w:r>
      <w:r w:rsidR="00D850D0" w:rsidRPr="00D850D0">
        <w:rPr>
          <w:rFonts w:cs="Verdana"/>
          <w:szCs w:val="22"/>
        </w:rPr>
        <w:t xml:space="preserve"> on par with </w:t>
      </w:r>
      <w:r w:rsidR="00D850D0">
        <w:rPr>
          <w:rFonts w:cs="Verdana"/>
          <w:szCs w:val="22"/>
        </w:rPr>
        <w:t>the best systems in the</w:t>
      </w:r>
      <w:r w:rsidR="00D850D0" w:rsidRPr="00D850D0">
        <w:rPr>
          <w:rFonts w:cs="Verdana"/>
          <w:szCs w:val="22"/>
        </w:rPr>
        <w:t xml:space="preserve"> gaming industry</w:t>
      </w:r>
      <w:r w:rsidR="00D850D0">
        <w:rPr>
          <w:rFonts w:cs="Verdana"/>
          <w:szCs w:val="22"/>
        </w:rPr>
        <w:t>, and exceed</w:t>
      </w:r>
      <w:r w:rsidR="00D850D0" w:rsidRPr="00D850D0">
        <w:rPr>
          <w:rFonts w:cs="Verdana"/>
          <w:szCs w:val="22"/>
        </w:rPr>
        <w:t xml:space="preserve"> standards employed by </w:t>
      </w:r>
      <w:r w:rsidR="00D850D0">
        <w:rPr>
          <w:rFonts w:cs="Verdana"/>
          <w:szCs w:val="22"/>
        </w:rPr>
        <w:t xml:space="preserve">state and </w:t>
      </w:r>
      <w:r w:rsidR="00D850D0" w:rsidRPr="00D850D0">
        <w:rPr>
          <w:rFonts w:cs="Verdana"/>
          <w:szCs w:val="22"/>
        </w:rPr>
        <w:t xml:space="preserve">commercial gaming operations. </w:t>
      </w:r>
    </w:p>
    <w:p w:rsidR="00930C14" w:rsidRDefault="00930C14" w:rsidP="00930C14">
      <w:pPr>
        <w:rPr>
          <w:rFonts w:eastAsia="Cambria"/>
        </w:rPr>
      </w:pPr>
    </w:p>
    <w:p w:rsidR="00930C14" w:rsidRDefault="004E31B0" w:rsidP="00930C14">
      <w:pPr>
        <w:rPr>
          <w:rFonts w:eastAsia="Cambria"/>
        </w:rPr>
      </w:pPr>
      <w:r w:rsidRPr="004E31B0">
        <w:rPr>
          <w:szCs w:val="36"/>
        </w:rPr>
        <w:lastRenderedPageBreak/>
        <w:t>Against this backdrop of comprehensive regulation, the FBI and the Justice Department have repeatedly testified that there has been no substantial infiltration of organized crime on Indian gaming.  This system is costly, it’s comprehensive, and our record and our experience shows that it’s working.</w:t>
      </w:r>
    </w:p>
    <w:p w:rsidR="00930C14" w:rsidRDefault="00930C14" w:rsidP="00930C14">
      <w:pPr>
        <w:rPr>
          <w:rFonts w:eastAsia="Cambria"/>
        </w:rPr>
      </w:pPr>
    </w:p>
    <w:p w:rsidR="007059E8" w:rsidRPr="00930C14" w:rsidRDefault="00E822EF" w:rsidP="00930C14">
      <w:pPr>
        <w:rPr>
          <w:rFonts w:eastAsia="Cambria"/>
        </w:rPr>
      </w:pPr>
      <w:r>
        <w:rPr>
          <w:color w:val="000000"/>
        </w:rPr>
        <w:t xml:space="preserve">NIGA </w:t>
      </w:r>
      <w:r w:rsidR="00B57D68">
        <w:rPr>
          <w:color w:val="000000"/>
        </w:rPr>
        <w:t>is encouraged by</w:t>
      </w:r>
      <w:r>
        <w:rPr>
          <w:color w:val="000000"/>
        </w:rPr>
        <w:t xml:space="preserve"> the</w:t>
      </w:r>
      <w:r w:rsidR="00144B76" w:rsidRPr="004E31B0">
        <w:rPr>
          <w:color w:val="000000"/>
        </w:rPr>
        <w:t xml:space="preserve"> Administration</w:t>
      </w:r>
      <w:r w:rsidR="00B57D68">
        <w:rPr>
          <w:color w:val="000000"/>
        </w:rPr>
        <w:t>’s</w:t>
      </w:r>
      <w:r w:rsidR="00144B76" w:rsidRPr="004E31B0">
        <w:rPr>
          <w:color w:val="000000"/>
        </w:rPr>
        <w:t xml:space="preserve"> rededication to agency-wide government-to-government consultation with Indian tribes. </w:t>
      </w:r>
      <w:r w:rsidR="00115C51" w:rsidRPr="004E31B0">
        <w:t xml:space="preserve"> </w:t>
      </w:r>
      <w:r w:rsidR="00150D53" w:rsidRPr="004E31B0">
        <w:rPr>
          <w:color w:val="000000"/>
        </w:rPr>
        <w:t xml:space="preserve">On November 5, 2009, President Obama issued an Executive Memorandum directing each federal agency to submit to the Director of the Office </w:t>
      </w:r>
      <w:r w:rsidR="00150D53" w:rsidRPr="007059E8">
        <w:rPr>
          <w:color w:val="000000"/>
        </w:rPr>
        <w:t>of Management and Budget (OMB), a detailed plan to implement the policies and directives of Executive Order 13175.</w:t>
      </w:r>
      <w:r w:rsidR="007059E8">
        <w:rPr>
          <w:color w:val="000000"/>
        </w:rPr>
        <w:t xml:space="preserve">  Over the past two years, all agencies have submitted and have begun to implement tribal consultation plans, and many have established </w:t>
      </w:r>
      <w:r w:rsidR="004E31B0">
        <w:rPr>
          <w:color w:val="000000"/>
        </w:rPr>
        <w:t>offices of tribal</w:t>
      </w:r>
      <w:r>
        <w:rPr>
          <w:color w:val="000000"/>
        </w:rPr>
        <w:t xml:space="preserve"> government</w:t>
      </w:r>
      <w:r w:rsidR="004E31B0">
        <w:rPr>
          <w:color w:val="000000"/>
        </w:rPr>
        <w:t xml:space="preserve"> relations.  These offices have opened countless doors and programs to tribes in ag</w:t>
      </w:r>
      <w:r>
        <w:rPr>
          <w:color w:val="000000"/>
        </w:rPr>
        <w:t>encies that were previously closed to Indian country</w:t>
      </w:r>
      <w:r w:rsidR="004E31B0">
        <w:rPr>
          <w:color w:val="000000"/>
        </w:rPr>
        <w:t xml:space="preserve">.  </w:t>
      </w:r>
    </w:p>
    <w:p w:rsidR="007059E8" w:rsidRPr="007059E8" w:rsidRDefault="007059E8" w:rsidP="00705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7059E8" w:rsidRPr="007059E8" w:rsidRDefault="004E31B0" w:rsidP="00705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szCs w:val="36"/>
        </w:rPr>
        <w:t>With regard to Indian gaming, a</w:t>
      </w:r>
      <w:r w:rsidR="007059E8" w:rsidRPr="007059E8">
        <w:rPr>
          <w:szCs w:val="36"/>
        </w:rPr>
        <w:t>t the Department of Justice, the increased cooperation and coordination between tribal gaming regulators, tribal police, and U.S. Attorneys sends a strong message that any crimes in Indian country or against Indian gaming operations will be prosecuted to the fullest extent of the law.</w:t>
      </w:r>
    </w:p>
    <w:p w:rsidR="007059E8" w:rsidRPr="007059E8" w:rsidRDefault="007059E8" w:rsidP="00705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7144D" w:rsidRPr="007059E8" w:rsidRDefault="007059E8" w:rsidP="00705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059E8">
        <w:rPr>
          <w:szCs w:val="36"/>
        </w:rPr>
        <w:t xml:space="preserve">NIGA also appreciates the increased consultation on the part of the NIGC.  Increased consultation has begun to repair frayed relationships with tribal governments, and has led to increased coordination, and further improvements to regulation.  </w:t>
      </w:r>
    </w:p>
    <w:p w:rsidR="00A7144D" w:rsidRPr="007059E8" w:rsidRDefault="00A7144D" w:rsidP="00A7144D">
      <w:pPr>
        <w:rPr>
          <w:color w:val="000000"/>
        </w:rPr>
      </w:pPr>
    </w:p>
    <w:p w:rsidR="00115C51" w:rsidRDefault="00930C14" w:rsidP="00115C51">
      <w:pPr>
        <w:rPr>
          <w:color w:val="000000"/>
        </w:rPr>
      </w:pPr>
      <w:r>
        <w:rPr>
          <w:color w:val="000000"/>
        </w:rPr>
        <w:t xml:space="preserve">NIGA is working with the NIGC to improve several areas, including </w:t>
      </w:r>
      <w:r w:rsidR="00115C51" w:rsidRPr="007059E8">
        <w:rPr>
          <w:color w:val="000000"/>
        </w:rPr>
        <w:t xml:space="preserve">training and technical assistance, class II gaming regulations, </w:t>
      </w:r>
      <w:r w:rsidR="00B91A98" w:rsidRPr="007059E8">
        <w:rPr>
          <w:color w:val="000000"/>
        </w:rPr>
        <w:t>and the facility licensing regulations</w:t>
      </w:r>
      <w:r w:rsidR="00B91A98">
        <w:rPr>
          <w:color w:val="000000"/>
        </w:rPr>
        <w:t xml:space="preserve">.  </w:t>
      </w:r>
      <w:r>
        <w:rPr>
          <w:color w:val="000000"/>
        </w:rPr>
        <w:t>Tribal governments</w:t>
      </w:r>
      <w:r w:rsidR="00115C51">
        <w:rPr>
          <w:color w:val="000000"/>
        </w:rPr>
        <w:t xml:space="preserve"> are encouraged by the NIGC’s</w:t>
      </w:r>
      <w:r>
        <w:rPr>
          <w:color w:val="000000"/>
        </w:rPr>
        <w:t xml:space="preserve"> ongoing regulatory review. </w:t>
      </w:r>
      <w:r w:rsidR="006C15DB">
        <w:rPr>
          <w:color w:val="000000"/>
        </w:rPr>
        <w:t>While these areas are detailed in comments to a variety of NIGC proposed rules, I will focus my testimony on the need to review regulations relating to class II gaming.</w:t>
      </w:r>
    </w:p>
    <w:p w:rsidR="00115C51" w:rsidRDefault="00115C51" w:rsidP="00115C51">
      <w:pPr>
        <w:rPr>
          <w:color w:val="000000"/>
        </w:rPr>
      </w:pPr>
    </w:p>
    <w:p w:rsidR="00115C51" w:rsidRPr="00115C51" w:rsidRDefault="00115C51" w:rsidP="00115C51">
      <w:pPr>
        <w:rPr>
          <w:b/>
          <w:i/>
          <w:color w:val="000000"/>
        </w:rPr>
      </w:pPr>
      <w:r>
        <w:rPr>
          <w:color w:val="000000"/>
        </w:rPr>
        <w:tab/>
      </w:r>
      <w:r>
        <w:rPr>
          <w:b/>
          <w:i/>
          <w:color w:val="000000"/>
        </w:rPr>
        <w:t>Class II Indian Gaming</w:t>
      </w:r>
    </w:p>
    <w:p w:rsidR="00115C51" w:rsidRDefault="00115C51" w:rsidP="00115C51">
      <w:pPr>
        <w:rPr>
          <w:color w:val="000000"/>
        </w:rPr>
      </w:pPr>
    </w:p>
    <w:p w:rsidR="00115C51" w:rsidRDefault="00CC7671" w:rsidP="00115C51">
      <w:pPr>
        <w:rPr>
          <w:color w:val="000000"/>
        </w:rPr>
      </w:pPr>
      <w:r w:rsidRPr="00E25356">
        <w:rPr>
          <w:rFonts w:cs="Times"/>
          <w:szCs w:val="22"/>
        </w:rPr>
        <w:t xml:space="preserve">Congress, in enacting IGRA, </w:t>
      </w:r>
      <w:r>
        <w:rPr>
          <w:rFonts w:cs="Times"/>
          <w:szCs w:val="22"/>
        </w:rPr>
        <w:t xml:space="preserve">struck a careful balance among </w:t>
      </w:r>
      <w:r w:rsidRPr="00E25356">
        <w:rPr>
          <w:rFonts w:cs="Times"/>
          <w:szCs w:val="22"/>
        </w:rPr>
        <w:t xml:space="preserve">the respective interests of </w:t>
      </w:r>
      <w:r>
        <w:rPr>
          <w:rFonts w:cs="Times"/>
          <w:szCs w:val="22"/>
        </w:rPr>
        <w:t xml:space="preserve">three sovereigns: </w:t>
      </w:r>
      <w:r w:rsidRPr="00E25356">
        <w:rPr>
          <w:rFonts w:cs="Times"/>
          <w:szCs w:val="22"/>
        </w:rPr>
        <w:t>tr</w:t>
      </w:r>
      <w:r>
        <w:rPr>
          <w:rFonts w:cs="Times"/>
          <w:szCs w:val="22"/>
        </w:rPr>
        <w:t>ibal, federal, and state governments.  That b</w:t>
      </w:r>
      <w:r w:rsidRPr="00E25356">
        <w:rPr>
          <w:rFonts w:cs="Times"/>
          <w:szCs w:val="22"/>
        </w:rPr>
        <w:t xml:space="preserve">alance was </w:t>
      </w:r>
      <w:r>
        <w:rPr>
          <w:rFonts w:cs="Times"/>
          <w:szCs w:val="22"/>
        </w:rPr>
        <w:t xml:space="preserve">critically </w:t>
      </w:r>
      <w:r w:rsidRPr="00E25356">
        <w:rPr>
          <w:rFonts w:cs="Times"/>
          <w:szCs w:val="22"/>
        </w:rPr>
        <w:t>upset by the Supreme Court’s 1996 decision</w:t>
      </w:r>
      <w:r>
        <w:rPr>
          <w:rFonts w:cs="Times"/>
          <w:szCs w:val="22"/>
        </w:rPr>
        <w:t xml:space="preserve"> in </w:t>
      </w:r>
      <w:r>
        <w:rPr>
          <w:rFonts w:cs="Times"/>
          <w:i/>
          <w:szCs w:val="22"/>
        </w:rPr>
        <w:t>Seminole Tribe v. Florida</w:t>
      </w:r>
      <w:r w:rsidRPr="00E25356">
        <w:rPr>
          <w:rFonts w:cs="Times"/>
          <w:szCs w:val="22"/>
        </w:rPr>
        <w:t>, which found that</w:t>
      </w:r>
      <w:r w:rsidRPr="00E25356">
        <w:rPr>
          <w:rFonts w:cs="Times"/>
          <w:i/>
          <w:iCs/>
          <w:szCs w:val="22"/>
        </w:rPr>
        <w:t xml:space="preserve"> </w:t>
      </w:r>
      <w:r w:rsidRPr="00E25356">
        <w:rPr>
          <w:rFonts w:cs="Times"/>
          <w:szCs w:val="21"/>
        </w:rPr>
        <w:t xml:space="preserve">a </w:t>
      </w:r>
      <w:r w:rsidRPr="00E25356">
        <w:rPr>
          <w:rFonts w:cs="Times"/>
          <w:szCs w:val="23"/>
        </w:rPr>
        <w:t xml:space="preserve">state </w:t>
      </w:r>
      <w:r>
        <w:rPr>
          <w:rFonts w:cs="Times"/>
          <w:szCs w:val="23"/>
        </w:rPr>
        <w:t xml:space="preserve">could </w:t>
      </w:r>
      <w:r>
        <w:rPr>
          <w:rFonts w:cs="Times"/>
          <w:szCs w:val="22"/>
        </w:rPr>
        <w:t>refuse to negotiate</w:t>
      </w:r>
      <w:r w:rsidRPr="00E25356">
        <w:rPr>
          <w:rFonts w:cs="Times"/>
          <w:szCs w:val="22"/>
        </w:rPr>
        <w:t xml:space="preserve"> </w:t>
      </w:r>
      <w:r>
        <w:rPr>
          <w:rFonts w:cs="Times"/>
          <w:szCs w:val="23"/>
        </w:rPr>
        <w:t>c</w:t>
      </w:r>
      <w:r w:rsidRPr="00E25356">
        <w:rPr>
          <w:rFonts w:cs="Times"/>
          <w:szCs w:val="23"/>
        </w:rPr>
        <w:t xml:space="preserve">lass </w:t>
      </w:r>
      <w:r w:rsidRPr="00E25356">
        <w:rPr>
          <w:rFonts w:cs="Times"/>
          <w:bCs/>
          <w:szCs w:val="23"/>
        </w:rPr>
        <w:t xml:space="preserve">III </w:t>
      </w:r>
      <w:r>
        <w:rPr>
          <w:rFonts w:cs="Times"/>
          <w:bCs/>
          <w:szCs w:val="23"/>
        </w:rPr>
        <w:t xml:space="preserve">tribal-state </w:t>
      </w:r>
      <w:r w:rsidRPr="00E25356">
        <w:rPr>
          <w:rFonts w:cs="Times"/>
          <w:szCs w:val="23"/>
        </w:rPr>
        <w:t>gaming compact</w:t>
      </w:r>
      <w:r>
        <w:rPr>
          <w:rFonts w:cs="Times"/>
          <w:szCs w:val="23"/>
        </w:rPr>
        <w:t>s in good faith</w:t>
      </w:r>
      <w:r w:rsidRPr="00E25356">
        <w:rPr>
          <w:rFonts w:cs="Times"/>
          <w:szCs w:val="23"/>
        </w:rPr>
        <w:t>.</w:t>
      </w:r>
      <w:r>
        <w:rPr>
          <w:rFonts w:cs="Times"/>
          <w:szCs w:val="23"/>
        </w:rPr>
        <w:t xml:space="preserve">  This decision has resulted in a number of state</w:t>
      </w:r>
      <w:r w:rsidR="004035BD">
        <w:rPr>
          <w:rFonts w:cs="Times"/>
          <w:szCs w:val="23"/>
        </w:rPr>
        <w:t>s</w:t>
      </w:r>
      <w:r>
        <w:rPr>
          <w:rFonts w:cs="Times"/>
          <w:szCs w:val="23"/>
        </w:rPr>
        <w:t xml:space="preserve"> (</w:t>
      </w:r>
      <w:r w:rsidR="004035BD">
        <w:rPr>
          <w:rFonts w:cs="Times"/>
          <w:szCs w:val="23"/>
        </w:rPr>
        <w:t>that</w:t>
      </w:r>
      <w:r>
        <w:rPr>
          <w:rFonts w:cs="Times"/>
          <w:szCs w:val="23"/>
        </w:rPr>
        <w:t xml:space="preserve"> condone and regulate other forms of gaming) exercising veto authority over class III Indian gaming.  As a result, Indian tribes in these states rely solely on class II gaming to generate governmental revenue to provide essential services to meet the many needs of their communities.  </w:t>
      </w:r>
    </w:p>
    <w:p w:rsidR="00115C51" w:rsidRDefault="00115C51" w:rsidP="00115C51">
      <w:pPr>
        <w:rPr>
          <w:color w:val="000000"/>
        </w:rPr>
      </w:pPr>
    </w:p>
    <w:p w:rsidR="00115C51" w:rsidRDefault="00CC7671" w:rsidP="00115C51">
      <w:pPr>
        <w:rPr>
          <w:color w:val="000000"/>
        </w:rPr>
      </w:pPr>
      <w:r w:rsidRPr="00BB4B0C">
        <w:t xml:space="preserve">For most of the past decade, the NIGC has created great uncertainty in the area of class II Indian gaming. </w:t>
      </w:r>
      <w:r>
        <w:t xml:space="preserve"> With little </w:t>
      </w:r>
      <w:r w:rsidRPr="00061B35">
        <w:t xml:space="preserve">tribal input, the NIGC in past years developed unworkable gaming classification standards that went beyond the statutory authority granted </w:t>
      </w:r>
      <w:r w:rsidR="004035BD">
        <w:t xml:space="preserve">to the Commission </w:t>
      </w:r>
      <w:r w:rsidRPr="00061B35">
        <w:t>in IGRA and that threatened the economic viability of class II gaming.</w:t>
      </w:r>
      <w:r>
        <w:t xml:space="preserve">  Many of these proposed regulations sought to limit class II games to only those in play in </w:t>
      </w:r>
      <w:r>
        <w:lastRenderedPageBreak/>
        <w:t>1988.  This view stands in direct conflict with congressional intent.</w:t>
      </w:r>
      <w:r w:rsidRPr="00061B35">
        <w:t xml:space="preserve"> </w:t>
      </w:r>
      <w:r>
        <w:t xml:space="preserve"> The Senate Committee Report to IGRA states the following:</w:t>
      </w:r>
    </w:p>
    <w:p w:rsidR="00115C51" w:rsidRDefault="00115C51" w:rsidP="00115C51">
      <w:pPr>
        <w:rPr>
          <w:color w:val="000000"/>
        </w:rPr>
      </w:pPr>
    </w:p>
    <w:p w:rsidR="009B49D4" w:rsidRDefault="00CC7671" w:rsidP="009B49D4">
      <w:pPr>
        <w:ind w:left="576" w:right="576"/>
        <w:rPr>
          <w:color w:val="000000"/>
        </w:rPr>
      </w:pPr>
      <w:r w:rsidRPr="00061B35">
        <w:rPr>
          <w:rFonts w:cs="Arial"/>
        </w:rPr>
        <w:t xml:space="preserve">The Committee specifically rejects any inference that tribes should restrict Class II games to existing game sizes, levels of participation, or current technology. The Committee intends that tribes be given the opportunity to take advantage of modern methods of conducting Class II games and the language regarding technology is designed </w:t>
      </w:r>
      <w:r>
        <w:rPr>
          <w:rFonts w:cs="Arial"/>
        </w:rPr>
        <w:t>to provide maximum flexibility.</w:t>
      </w:r>
    </w:p>
    <w:p w:rsidR="009B49D4" w:rsidRDefault="009B49D4" w:rsidP="009B49D4">
      <w:pPr>
        <w:ind w:left="576" w:right="576"/>
        <w:rPr>
          <w:color w:val="000000"/>
        </w:rPr>
      </w:pPr>
    </w:p>
    <w:p w:rsidR="001D3A45" w:rsidRDefault="00115C51" w:rsidP="00E822EF">
      <w:r>
        <w:rPr>
          <w:color w:val="000000"/>
        </w:rPr>
        <w:t>Senate Report 100-446, at 9 (Aug. 3, 1988).</w:t>
      </w:r>
      <w:r>
        <w:t xml:space="preserve">  </w:t>
      </w:r>
    </w:p>
    <w:p w:rsidR="001D3A45" w:rsidRDefault="001D3A45" w:rsidP="00E822EF"/>
    <w:p w:rsidR="00E822EF" w:rsidRDefault="00115C51" w:rsidP="00E822EF">
      <w:pPr>
        <w:rPr>
          <w:color w:val="000000"/>
        </w:rPr>
      </w:pPr>
      <w:r>
        <w:t>To better meet these intentions, t</w:t>
      </w:r>
      <w:r w:rsidR="00CC7671" w:rsidRPr="00061B35">
        <w:t>he NIGC should make it a priority to revisit regulations that affect class II Indian gam</w:t>
      </w:r>
      <w:r w:rsidR="00CC7671">
        <w:t xml:space="preserve">ing in consultation with all tribal governments and tribal regulatory agencies.  </w:t>
      </w:r>
      <w:r>
        <w:t xml:space="preserve">Specific areas with regard to class II gaming </w:t>
      </w:r>
      <w:r w:rsidR="001D3A45">
        <w:t xml:space="preserve">that deserve a closer look </w:t>
      </w:r>
      <w:r>
        <w:t>include the class II Minimum Internal Control Standards, technical standards for class II gaming, and sel</w:t>
      </w:r>
      <w:r w:rsidR="00B91A98">
        <w:t xml:space="preserve">f-regulation of class II gaming, among other areas.  </w:t>
      </w:r>
    </w:p>
    <w:p w:rsidR="00E822EF" w:rsidRDefault="00E822EF" w:rsidP="00E822EF">
      <w:pPr>
        <w:rPr>
          <w:color w:val="000000"/>
        </w:rPr>
      </w:pPr>
    </w:p>
    <w:p w:rsidR="000A4155" w:rsidRDefault="009B49D4" w:rsidP="00E822EF">
      <w:pPr>
        <w:rPr>
          <w:color w:val="000000"/>
        </w:rPr>
      </w:pPr>
      <w:r>
        <w:t xml:space="preserve">In this area, NIGA </w:t>
      </w:r>
      <w:r w:rsidR="00B57D68">
        <w:t>acknowledges</w:t>
      </w:r>
      <w:bookmarkStart w:id="0" w:name="_GoBack"/>
      <w:bookmarkEnd w:id="0"/>
      <w:r>
        <w:t xml:space="preserve"> the significant efforts of the tribal leaders, tribal regulators, and industry experts of the Indian Gaming Working Group.  This Group invested a considerable amount of time and th</w:t>
      </w:r>
      <w:r w:rsidR="001D3A45">
        <w:t>ought into comments and proposals to improve this area of the law and bring it closer to the original congressional intent</w:t>
      </w:r>
      <w:r>
        <w:t xml:space="preserve">.  </w:t>
      </w:r>
    </w:p>
    <w:p w:rsidR="003075B0" w:rsidRPr="00461176" w:rsidRDefault="003075B0"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135CDA" w:rsidRPr="00461176" w:rsidRDefault="00135CDA"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61176">
        <w:rPr>
          <w:b/>
          <w:color w:val="000000"/>
        </w:rPr>
        <w:t>CONCLUSION</w:t>
      </w:r>
    </w:p>
    <w:p w:rsidR="00135CDA" w:rsidRPr="00461176" w:rsidRDefault="00135CDA"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96B6D" w:rsidRPr="00896B6D" w:rsidRDefault="001D3A45" w:rsidP="00896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In conclusion, t</w:t>
      </w:r>
      <w:r w:rsidR="00855F09" w:rsidRPr="00896B6D">
        <w:t>he Indian Gaming Regulatory Act has worked well to promote “tribal economic development, self-sufficiency, and strong tribal governments,” as Congress intended</w:t>
      </w:r>
      <w:r w:rsidR="00C54428">
        <w:t xml:space="preserve">.  </w:t>
      </w:r>
      <w:r w:rsidR="00855F09" w:rsidRPr="00896B6D">
        <w:t xml:space="preserve">Indian gaming is </w:t>
      </w:r>
      <w:r w:rsidR="00C54428">
        <w:t>a true</w:t>
      </w:r>
      <w:r w:rsidR="00855F09" w:rsidRPr="00896B6D">
        <w:t xml:space="preserve"> success story for</w:t>
      </w:r>
      <w:r w:rsidR="00C54428">
        <w:t xml:space="preserve"> Indian country and</w:t>
      </w:r>
      <w:r w:rsidR="00855F09" w:rsidRPr="00896B6D">
        <w:t xml:space="preserve"> the Nation as a whole</w:t>
      </w:r>
      <w:r w:rsidR="003075B0" w:rsidRPr="00896B6D">
        <w:t xml:space="preserve">. </w:t>
      </w:r>
    </w:p>
    <w:p w:rsidR="00896B6D" w:rsidRPr="00896B6D" w:rsidRDefault="00896B6D" w:rsidP="00896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96B6D" w:rsidRPr="00896B6D" w:rsidRDefault="00896B6D" w:rsidP="009B49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96B6D">
        <w:rPr>
          <w:szCs w:val="36"/>
        </w:rPr>
        <w:t xml:space="preserve">Tribal governments are mindful of what’s at stake, and tribes nationwide </w:t>
      </w:r>
      <w:r w:rsidR="00C54428">
        <w:rPr>
          <w:szCs w:val="36"/>
        </w:rPr>
        <w:t>have</w:t>
      </w:r>
      <w:r w:rsidRPr="00896B6D">
        <w:rPr>
          <w:szCs w:val="36"/>
        </w:rPr>
        <w:t xml:space="preserve"> committed</w:t>
      </w:r>
      <w:r w:rsidR="00C54428">
        <w:rPr>
          <w:szCs w:val="36"/>
        </w:rPr>
        <w:t xml:space="preserve"> significant and precious resources</w:t>
      </w:r>
      <w:r w:rsidRPr="00896B6D">
        <w:rPr>
          <w:szCs w:val="36"/>
        </w:rPr>
        <w:t xml:space="preserve"> to maintaining a strong, seamless, and comprehensive system of regulation.  Much of the credit for this success goes to the tribal leaders who made the</w:t>
      </w:r>
      <w:r w:rsidR="00C54428">
        <w:rPr>
          <w:szCs w:val="36"/>
        </w:rPr>
        <w:t xml:space="preserve"> decision to spend more than $345</w:t>
      </w:r>
      <w:r w:rsidRPr="00896B6D">
        <w:rPr>
          <w:szCs w:val="36"/>
        </w:rPr>
        <w:t xml:space="preserve"> million to regulate their operations, and to the thousands of men and women who are day-to-day front line regulators of Indian gaming operations. </w:t>
      </w:r>
      <w:r w:rsidRPr="00896B6D">
        <w:t xml:space="preserve">In short, Indian Country is proud of its gaming regulatory history and we are working hard to ensure that tribal gaming regulation remains strong into the future.  </w:t>
      </w:r>
    </w:p>
    <w:p w:rsidR="00896B6D" w:rsidRPr="00896B6D" w:rsidRDefault="00896B6D" w:rsidP="00896B6D"/>
    <w:p w:rsidR="003075B0" w:rsidRPr="00461176" w:rsidRDefault="00896B6D" w:rsidP="009E0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96B6D">
        <w:rPr>
          <w:szCs w:val="36"/>
        </w:rPr>
        <w:t>Mr. Chairman and Members of the Committee this concludes my remarks.  Again, thank you for this opportunity to testify</w:t>
      </w:r>
      <w:r w:rsidR="00C54428">
        <w:rPr>
          <w:szCs w:val="36"/>
        </w:rPr>
        <w:t xml:space="preserve"> today</w:t>
      </w:r>
      <w:r w:rsidRPr="00896B6D">
        <w:rPr>
          <w:szCs w:val="36"/>
        </w:rPr>
        <w:t>.</w:t>
      </w:r>
    </w:p>
    <w:sectPr w:rsidR="003075B0" w:rsidRPr="00461176" w:rsidSect="004477C1">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84" w:rsidRDefault="00192484" w:rsidP="00D53005">
      <w:r>
        <w:separator/>
      </w:r>
    </w:p>
  </w:endnote>
  <w:endnote w:type="continuationSeparator" w:id="0">
    <w:p w:rsidR="00192484" w:rsidRDefault="00192484" w:rsidP="00D5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5737"/>
      <w:docPartObj>
        <w:docPartGallery w:val="Page Numbers (Bottom of Page)"/>
        <w:docPartUnique/>
      </w:docPartObj>
    </w:sdtPr>
    <w:sdtEndPr/>
    <w:sdtContent>
      <w:p w:rsidR="00930C14" w:rsidRDefault="00192484">
        <w:pPr>
          <w:pStyle w:val="Footer"/>
          <w:jc w:val="center"/>
        </w:pPr>
        <w:r>
          <w:fldChar w:fldCharType="begin"/>
        </w:r>
        <w:r>
          <w:instrText xml:space="preserve"> PAGE   \* MERGEFORMAT </w:instrText>
        </w:r>
        <w:r>
          <w:fldChar w:fldCharType="separate"/>
        </w:r>
        <w:r w:rsidR="00B57D68">
          <w:rPr>
            <w:noProof/>
          </w:rPr>
          <w:t>8</w:t>
        </w:r>
        <w:r>
          <w:rPr>
            <w:noProof/>
          </w:rPr>
          <w:fldChar w:fldCharType="end"/>
        </w:r>
      </w:p>
    </w:sdtContent>
  </w:sdt>
  <w:p w:rsidR="00930C14" w:rsidRDefault="00930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84" w:rsidRDefault="00192484" w:rsidP="00D53005">
      <w:r>
        <w:separator/>
      </w:r>
    </w:p>
  </w:footnote>
  <w:footnote w:type="continuationSeparator" w:id="0">
    <w:p w:rsidR="00192484" w:rsidRDefault="00192484" w:rsidP="00D53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4783"/>
    <w:multiLevelType w:val="hybridMultilevel"/>
    <w:tmpl w:val="48EA9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DC6FD6"/>
    <w:multiLevelType w:val="hybridMultilevel"/>
    <w:tmpl w:val="D85CEC20"/>
    <w:lvl w:ilvl="0" w:tplc="756043C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E491412"/>
    <w:multiLevelType w:val="multilevel"/>
    <w:tmpl w:val="F4D2A8AA"/>
    <w:lvl w:ilvl="0">
      <w:start w:val="1"/>
      <w:numFmt w:val="decimal"/>
      <w:pStyle w:val="Heading1"/>
      <w:lvlText w:val="%1."/>
      <w:lvlJc w:val="left"/>
      <w:pPr>
        <w:tabs>
          <w:tab w:val="num" w:pos="432"/>
        </w:tabs>
        <w:ind w:left="0" w:firstLine="0"/>
      </w:pPr>
      <w:rPr>
        <w:rFonts w:ascii="Times New Roman" w:hAnsi="Times New Roman" w:cs="Times New Roman" w:hint="default"/>
        <w:b w:val="0"/>
        <w:sz w:val="24"/>
        <w:szCs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nsid w:val="58A800A7"/>
    <w:multiLevelType w:val="hybridMultilevel"/>
    <w:tmpl w:val="CF1C124E"/>
    <w:lvl w:ilvl="0" w:tplc="BA9A2A8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AB17113"/>
    <w:multiLevelType w:val="hybridMultilevel"/>
    <w:tmpl w:val="A364D8EA"/>
    <w:lvl w:ilvl="0" w:tplc="04090001">
      <w:start w:val="1"/>
      <w:numFmt w:val="bullet"/>
      <w:lvlText w:val=""/>
      <w:lvlJc w:val="left"/>
      <w:pPr>
        <w:ind w:left="1080" w:hanging="360"/>
      </w:pPr>
      <w:rPr>
        <w:rFonts w:ascii="Symbol" w:hAnsi="Symbol" w:hint="default"/>
      </w:rPr>
    </w:lvl>
    <w:lvl w:ilvl="1" w:tplc="FA067208">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CB55D7"/>
    <w:multiLevelType w:val="hybridMultilevel"/>
    <w:tmpl w:val="C472E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0775505"/>
    <w:multiLevelType w:val="hybridMultilevel"/>
    <w:tmpl w:val="D9E85C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A94FFC"/>
    <w:multiLevelType w:val="hybridMultilevel"/>
    <w:tmpl w:val="38F68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C1"/>
    <w:rsid w:val="00036E07"/>
    <w:rsid w:val="00047FF3"/>
    <w:rsid w:val="00076C9E"/>
    <w:rsid w:val="00093F09"/>
    <w:rsid w:val="00097EA2"/>
    <w:rsid w:val="000A4155"/>
    <w:rsid w:val="00111F12"/>
    <w:rsid w:val="00115C51"/>
    <w:rsid w:val="00132BEB"/>
    <w:rsid w:val="00135CDA"/>
    <w:rsid w:val="00144B76"/>
    <w:rsid w:val="00150D53"/>
    <w:rsid w:val="001537B1"/>
    <w:rsid w:val="001554C3"/>
    <w:rsid w:val="00181F3B"/>
    <w:rsid w:val="00190C30"/>
    <w:rsid w:val="00192484"/>
    <w:rsid w:val="001D3A45"/>
    <w:rsid w:val="00206167"/>
    <w:rsid w:val="002218CB"/>
    <w:rsid w:val="002435B5"/>
    <w:rsid w:val="002750AD"/>
    <w:rsid w:val="002954D3"/>
    <w:rsid w:val="002D7743"/>
    <w:rsid w:val="003075B0"/>
    <w:rsid w:val="00321E33"/>
    <w:rsid w:val="00332D2E"/>
    <w:rsid w:val="003366B6"/>
    <w:rsid w:val="00342CA8"/>
    <w:rsid w:val="00345612"/>
    <w:rsid w:val="00383534"/>
    <w:rsid w:val="003A30E3"/>
    <w:rsid w:val="003B2077"/>
    <w:rsid w:val="003C2BB3"/>
    <w:rsid w:val="003E200F"/>
    <w:rsid w:val="004035BD"/>
    <w:rsid w:val="00406484"/>
    <w:rsid w:val="00417012"/>
    <w:rsid w:val="004300B6"/>
    <w:rsid w:val="004367DA"/>
    <w:rsid w:val="004477C1"/>
    <w:rsid w:val="00461176"/>
    <w:rsid w:val="004A530F"/>
    <w:rsid w:val="004D59FA"/>
    <w:rsid w:val="004E31B0"/>
    <w:rsid w:val="004F0464"/>
    <w:rsid w:val="004F394E"/>
    <w:rsid w:val="00507BCC"/>
    <w:rsid w:val="0052531F"/>
    <w:rsid w:val="00527D99"/>
    <w:rsid w:val="00561BF7"/>
    <w:rsid w:val="005844FF"/>
    <w:rsid w:val="00587F18"/>
    <w:rsid w:val="00602BD3"/>
    <w:rsid w:val="006222F5"/>
    <w:rsid w:val="00622656"/>
    <w:rsid w:val="006446B0"/>
    <w:rsid w:val="00653AAF"/>
    <w:rsid w:val="00681147"/>
    <w:rsid w:val="00691FC7"/>
    <w:rsid w:val="006B5D8A"/>
    <w:rsid w:val="006C15DB"/>
    <w:rsid w:val="006E4A13"/>
    <w:rsid w:val="006E5D2B"/>
    <w:rsid w:val="006F17D5"/>
    <w:rsid w:val="00703187"/>
    <w:rsid w:val="007059E8"/>
    <w:rsid w:val="007066B1"/>
    <w:rsid w:val="00730713"/>
    <w:rsid w:val="00744B9B"/>
    <w:rsid w:val="00791722"/>
    <w:rsid w:val="007B595C"/>
    <w:rsid w:val="00803FDA"/>
    <w:rsid w:val="00831AD4"/>
    <w:rsid w:val="00855F09"/>
    <w:rsid w:val="008578EC"/>
    <w:rsid w:val="00880AA4"/>
    <w:rsid w:val="0089036C"/>
    <w:rsid w:val="00896B6D"/>
    <w:rsid w:val="008C3C81"/>
    <w:rsid w:val="009139D4"/>
    <w:rsid w:val="009175CD"/>
    <w:rsid w:val="00930C14"/>
    <w:rsid w:val="00936897"/>
    <w:rsid w:val="009525B2"/>
    <w:rsid w:val="009B49D4"/>
    <w:rsid w:val="009C799D"/>
    <w:rsid w:val="009D3606"/>
    <w:rsid w:val="009E0EC2"/>
    <w:rsid w:val="00A27D26"/>
    <w:rsid w:val="00A7144D"/>
    <w:rsid w:val="00A85F89"/>
    <w:rsid w:val="00AC3D77"/>
    <w:rsid w:val="00AD4EB1"/>
    <w:rsid w:val="00B41AD5"/>
    <w:rsid w:val="00B52E78"/>
    <w:rsid w:val="00B57D68"/>
    <w:rsid w:val="00B91A98"/>
    <w:rsid w:val="00B951B2"/>
    <w:rsid w:val="00BB7CB8"/>
    <w:rsid w:val="00BE52B8"/>
    <w:rsid w:val="00C013EB"/>
    <w:rsid w:val="00C372ED"/>
    <w:rsid w:val="00C44E5C"/>
    <w:rsid w:val="00C54428"/>
    <w:rsid w:val="00C5559D"/>
    <w:rsid w:val="00C954D2"/>
    <w:rsid w:val="00CA0EF1"/>
    <w:rsid w:val="00CC7671"/>
    <w:rsid w:val="00CE7981"/>
    <w:rsid w:val="00CF0E35"/>
    <w:rsid w:val="00CF30FA"/>
    <w:rsid w:val="00CF758A"/>
    <w:rsid w:val="00D53005"/>
    <w:rsid w:val="00D850D0"/>
    <w:rsid w:val="00DA47DD"/>
    <w:rsid w:val="00DB2111"/>
    <w:rsid w:val="00DB3D82"/>
    <w:rsid w:val="00DC3D3C"/>
    <w:rsid w:val="00DC53FB"/>
    <w:rsid w:val="00DD09E6"/>
    <w:rsid w:val="00DD60BA"/>
    <w:rsid w:val="00E00D77"/>
    <w:rsid w:val="00E425DC"/>
    <w:rsid w:val="00E51550"/>
    <w:rsid w:val="00E54B6A"/>
    <w:rsid w:val="00E57E21"/>
    <w:rsid w:val="00E81E0A"/>
    <w:rsid w:val="00E822EF"/>
    <w:rsid w:val="00EB0D48"/>
    <w:rsid w:val="00EB2300"/>
    <w:rsid w:val="00ED7F2E"/>
    <w:rsid w:val="00F201C9"/>
    <w:rsid w:val="00F2671B"/>
    <w:rsid w:val="00F32CAB"/>
    <w:rsid w:val="00F860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3C"/>
  </w:style>
  <w:style w:type="paragraph" w:styleId="Heading1">
    <w:name w:val="heading 1"/>
    <w:basedOn w:val="Normal"/>
    <w:next w:val="Normal"/>
    <w:link w:val="Heading1Char"/>
    <w:uiPriority w:val="9"/>
    <w:qFormat/>
    <w:rsid w:val="00CC7671"/>
    <w:pPr>
      <w:keepNext/>
      <w:numPr>
        <w:numId w:val="7"/>
      </w:numPr>
      <w:spacing w:before="240" w:after="60"/>
      <w:ind w:right="720"/>
      <w:jc w:val="both"/>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CC7671"/>
    <w:pPr>
      <w:numPr>
        <w:ilvl w:val="1"/>
        <w:numId w:val="7"/>
      </w:num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CC7671"/>
    <w:pPr>
      <w:keepNext/>
      <w:numPr>
        <w:ilvl w:val="2"/>
        <w:numId w:val="7"/>
      </w:numPr>
      <w:spacing w:before="240" w:after="60"/>
      <w:ind w:right="720"/>
      <w:jc w:val="both"/>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CC7671"/>
    <w:pPr>
      <w:keepNext/>
      <w:numPr>
        <w:ilvl w:val="3"/>
        <w:numId w:val="7"/>
      </w:numPr>
      <w:spacing w:before="240" w:after="60"/>
      <w:ind w:right="720"/>
      <w:jc w:val="both"/>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CC7671"/>
    <w:pPr>
      <w:numPr>
        <w:ilvl w:val="4"/>
        <w:numId w:val="7"/>
      </w:numPr>
      <w:spacing w:before="240" w:after="60"/>
      <w:ind w:right="720"/>
      <w:jc w:val="both"/>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CC7671"/>
    <w:pPr>
      <w:numPr>
        <w:ilvl w:val="5"/>
        <w:numId w:val="7"/>
      </w:numPr>
      <w:spacing w:before="240" w:after="60"/>
      <w:ind w:right="720"/>
      <w:jc w:val="both"/>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C7671"/>
    <w:pPr>
      <w:numPr>
        <w:ilvl w:val="6"/>
        <w:numId w:val="7"/>
      </w:numPr>
      <w:spacing w:before="240" w:after="60"/>
      <w:ind w:right="720"/>
      <w:jc w:val="both"/>
      <w:outlineLvl w:val="6"/>
    </w:pPr>
    <w:rPr>
      <w:rFonts w:ascii="Calibri" w:eastAsia="Times New Roman" w:hAnsi="Calibri"/>
    </w:rPr>
  </w:style>
  <w:style w:type="paragraph" w:styleId="Heading8">
    <w:name w:val="heading 8"/>
    <w:basedOn w:val="Normal"/>
    <w:next w:val="Normal"/>
    <w:link w:val="Heading8Char"/>
    <w:uiPriority w:val="9"/>
    <w:unhideWhenUsed/>
    <w:qFormat/>
    <w:rsid w:val="00CC7671"/>
    <w:pPr>
      <w:numPr>
        <w:ilvl w:val="7"/>
        <w:numId w:val="7"/>
      </w:numPr>
      <w:spacing w:before="240" w:after="60"/>
      <w:ind w:right="720"/>
      <w:jc w:val="both"/>
      <w:outlineLvl w:val="7"/>
    </w:pPr>
    <w:rPr>
      <w:rFonts w:ascii="Calibri" w:eastAsia="Times New Roman" w:hAnsi="Calibri"/>
      <w:i/>
      <w:iCs/>
    </w:rPr>
  </w:style>
  <w:style w:type="paragraph" w:styleId="Heading9">
    <w:name w:val="heading 9"/>
    <w:basedOn w:val="Normal"/>
    <w:next w:val="Normal"/>
    <w:link w:val="Heading9Char"/>
    <w:uiPriority w:val="9"/>
    <w:unhideWhenUsed/>
    <w:qFormat/>
    <w:rsid w:val="00CC7671"/>
    <w:pPr>
      <w:numPr>
        <w:ilvl w:val="8"/>
        <w:numId w:val="7"/>
      </w:numPr>
      <w:spacing w:before="240" w:after="60"/>
      <w:ind w:right="720"/>
      <w:jc w:val="both"/>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53005"/>
    <w:rPr>
      <w:rFonts w:eastAsia="Times New Roman"/>
      <w:sz w:val="20"/>
      <w:szCs w:val="20"/>
    </w:rPr>
  </w:style>
  <w:style w:type="character" w:customStyle="1" w:styleId="FootnoteTextChar">
    <w:name w:val="Footnote Text Char"/>
    <w:basedOn w:val="DefaultParagraphFont"/>
    <w:link w:val="FootnoteText"/>
    <w:rsid w:val="00D53005"/>
    <w:rPr>
      <w:rFonts w:ascii="Times New Roman" w:eastAsia="Times New Roman" w:hAnsi="Times New Roman" w:cs="Times New Roman"/>
      <w:sz w:val="20"/>
      <w:szCs w:val="20"/>
    </w:rPr>
  </w:style>
  <w:style w:type="character" w:styleId="FootnoteReference">
    <w:name w:val="footnote reference"/>
    <w:basedOn w:val="DefaultParagraphFont"/>
    <w:rsid w:val="00D53005"/>
    <w:rPr>
      <w:vertAlign w:val="superscript"/>
    </w:rPr>
  </w:style>
  <w:style w:type="paragraph" w:styleId="NormalWeb">
    <w:name w:val="Normal (Web)"/>
    <w:basedOn w:val="Normal"/>
    <w:uiPriority w:val="99"/>
    <w:unhideWhenUsed/>
    <w:rsid w:val="00F86055"/>
    <w:pPr>
      <w:spacing w:before="100" w:beforeAutospacing="1" w:after="100" w:afterAutospacing="1"/>
    </w:pPr>
    <w:rPr>
      <w:rFonts w:eastAsia="Times New Roman"/>
    </w:rPr>
  </w:style>
  <w:style w:type="paragraph" w:styleId="Header">
    <w:name w:val="header"/>
    <w:basedOn w:val="Normal"/>
    <w:link w:val="HeaderChar"/>
    <w:uiPriority w:val="99"/>
    <w:semiHidden/>
    <w:unhideWhenUsed/>
    <w:rsid w:val="00744B9B"/>
    <w:pPr>
      <w:tabs>
        <w:tab w:val="center" w:pos="4680"/>
        <w:tab w:val="right" w:pos="9360"/>
      </w:tabs>
    </w:pPr>
  </w:style>
  <w:style w:type="character" w:customStyle="1" w:styleId="HeaderChar">
    <w:name w:val="Header Char"/>
    <w:basedOn w:val="DefaultParagraphFont"/>
    <w:link w:val="Header"/>
    <w:uiPriority w:val="99"/>
    <w:semiHidden/>
    <w:rsid w:val="00744B9B"/>
  </w:style>
  <w:style w:type="paragraph" w:styleId="Footer">
    <w:name w:val="footer"/>
    <w:basedOn w:val="Normal"/>
    <w:link w:val="FooterChar"/>
    <w:uiPriority w:val="99"/>
    <w:unhideWhenUsed/>
    <w:rsid w:val="00744B9B"/>
    <w:pPr>
      <w:tabs>
        <w:tab w:val="center" w:pos="4680"/>
        <w:tab w:val="right" w:pos="9360"/>
      </w:tabs>
    </w:pPr>
  </w:style>
  <w:style w:type="character" w:customStyle="1" w:styleId="FooterChar">
    <w:name w:val="Footer Char"/>
    <w:basedOn w:val="DefaultParagraphFont"/>
    <w:link w:val="Footer"/>
    <w:uiPriority w:val="99"/>
    <w:rsid w:val="00744B9B"/>
  </w:style>
  <w:style w:type="paragraph" w:styleId="BodyTextIndent">
    <w:name w:val="Body Text Indent"/>
    <w:basedOn w:val="Normal"/>
    <w:link w:val="BodyTextIndentChar"/>
    <w:rsid w:val="00E54B6A"/>
    <w:pPr>
      <w:ind w:left="720"/>
    </w:pPr>
    <w:rPr>
      <w:rFonts w:eastAsia="Times New Roman"/>
    </w:rPr>
  </w:style>
  <w:style w:type="character" w:customStyle="1" w:styleId="BodyTextIndentChar">
    <w:name w:val="Body Text Indent Char"/>
    <w:basedOn w:val="DefaultParagraphFont"/>
    <w:link w:val="BodyTextIndent"/>
    <w:rsid w:val="00E54B6A"/>
    <w:rPr>
      <w:rFonts w:eastAsia="Times New Roman"/>
    </w:rPr>
  </w:style>
  <w:style w:type="character" w:customStyle="1" w:styleId="Heading1Char">
    <w:name w:val="Heading 1 Char"/>
    <w:basedOn w:val="DefaultParagraphFont"/>
    <w:link w:val="Heading1"/>
    <w:uiPriority w:val="9"/>
    <w:rsid w:val="00CC767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CC7671"/>
    <w:rPr>
      <w:rFonts w:eastAsia="Times New Roman"/>
      <w:b/>
      <w:bCs/>
      <w:sz w:val="36"/>
      <w:szCs w:val="36"/>
    </w:rPr>
  </w:style>
  <w:style w:type="character" w:customStyle="1" w:styleId="Heading3Char">
    <w:name w:val="Heading 3 Char"/>
    <w:basedOn w:val="DefaultParagraphFont"/>
    <w:link w:val="Heading3"/>
    <w:uiPriority w:val="9"/>
    <w:rsid w:val="00CC7671"/>
    <w:rPr>
      <w:rFonts w:ascii="Cambria" w:eastAsia="Times New Roman" w:hAnsi="Cambria"/>
      <w:b/>
      <w:bCs/>
      <w:sz w:val="26"/>
      <w:szCs w:val="26"/>
    </w:rPr>
  </w:style>
  <w:style w:type="character" w:customStyle="1" w:styleId="Heading4Char">
    <w:name w:val="Heading 4 Char"/>
    <w:basedOn w:val="DefaultParagraphFont"/>
    <w:link w:val="Heading4"/>
    <w:uiPriority w:val="9"/>
    <w:rsid w:val="00CC7671"/>
    <w:rPr>
      <w:rFonts w:ascii="Calibri" w:eastAsia="Times New Roman" w:hAnsi="Calibri"/>
      <w:b/>
      <w:bCs/>
      <w:sz w:val="28"/>
      <w:szCs w:val="28"/>
    </w:rPr>
  </w:style>
  <w:style w:type="character" w:customStyle="1" w:styleId="Heading5Char">
    <w:name w:val="Heading 5 Char"/>
    <w:basedOn w:val="DefaultParagraphFont"/>
    <w:link w:val="Heading5"/>
    <w:uiPriority w:val="9"/>
    <w:rsid w:val="00CC7671"/>
    <w:rPr>
      <w:rFonts w:ascii="Calibri" w:eastAsia="Times New Roman" w:hAnsi="Calibri"/>
      <w:b/>
      <w:bCs/>
      <w:i/>
      <w:iCs/>
      <w:sz w:val="26"/>
      <w:szCs w:val="26"/>
    </w:rPr>
  </w:style>
  <w:style w:type="character" w:customStyle="1" w:styleId="Heading6Char">
    <w:name w:val="Heading 6 Char"/>
    <w:basedOn w:val="DefaultParagraphFont"/>
    <w:link w:val="Heading6"/>
    <w:uiPriority w:val="9"/>
    <w:rsid w:val="00CC7671"/>
    <w:rPr>
      <w:rFonts w:ascii="Calibri" w:eastAsia="Times New Roman" w:hAnsi="Calibri"/>
      <w:b/>
      <w:bCs/>
      <w:sz w:val="22"/>
      <w:szCs w:val="22"/>
    </w:rPr>
  </w:style>
  <w:style w:type="character" w:customStyle="1" w:styleId="Heading7Char">
    <w:name w:val="Heading 7 Char"/>
    <w:basedOn w:val="DefaultParagraphFont"/>
    <w:link w:val="Heading7"/>
    <w:uiPriority w:val="9"/>
    <w:rsid w:val="00CC7671"/>
    <w:rPr>
      <w:rFonts w:ascii="Calibri" w:eastAsia="Times New Roman" w:hAnsi="Calibri"/>
    </w:rPr>
  </w:style>
  <w:style w:type="character" w:customStyle="1" w:styleId="Heading8Char">
    <w:name w:val="Heading 8 Char"/>
    <w:basedOn w:val="DefaultParagraphFont"/>
    <w:link w:val="Heading8"/>
    <w:uiPriority w:val="9"/>
    <w:rsid w:val="00CC7671"/>
    <w:rPr>
      <w:rFonts w:ascii="Calibri" w:eastAsia="Times New Roman" w:hAnsi="Calibri"/>
      <w:i/>
      <w:iCs/>
    </w:rPr>
  </w:style>
  <w:style w:type="character" w:customStyle="1" w:styleId="Heading9Char">
    <w:name w:val="Heading 9 Char"/>
    <w:basedOn w:val="DefaultParagraphFont"/>
    <w:link w:val="Heading9"/>
    <w:uiPriority w:val="9"/>
    <w:rsid w:val="00CC7671"/>
    <w:rPr>
      <w:rFonts w:ascii="Cambria" w:eastAsia="Times New Roman" w:hAnsi="Cambria"/>
      <w:sz w:val="22"/>
      <w:szCs w:val="22"/>
    </w:rPr>
  </w:style>
  <w:style w:type="paragraph" w:styleId="ListParagraph">
    <w:name w:val="List Paragraph"/>
    <w:basedOn w:val="Normal"/>
    <w:uiPriority w:val="34"/>
    <w:qFormat/>
    <w:rsid w:val="00CC7671"/>
    <w:pPr>
      <w:ind w:left="720"/>
      <w:contextualSpacing/>
    </w:pPr>
    <w:rPr>
      <w:rFonts w:eastAsia="Times New Roman"/>
    </w:rPr>
  </w:style>
  <w:style w:type="paragraph" w:styleId="BodyText">
    <w:name w:val="Body Text"/>
    <w:basedOn w:val="Normal"/>
    <w:link w:val="BodyTextChar"/>
    <w:uiPriority w:val="99"/>
    <w:semiHidden/>
    <w:unhideWhenUsed/>
    <w:rsid w:val="00345612"/>
    <w:pPr>
      <w:spacing w:after="120"/>
    </w:pPr>
  </w:style>
  <w:style w:type="character" w:customStyle="1" w:styleId="BodyTextChar">
    <w:name w:val="Body Text Char"/>
    <w:basedOn w:val="DefaultParagraphFont"/>
    <w:link w:val="BodyText"/>
    <w:uiPriority w:val="99"/>
    <w:semiHidden/>
    <w:rsid w:val="00345612"/>
  </w:style>
  <w:style w:type="paragraph" w:styleId="BalloonText">
    <w:name w:val="Balloon Text"/>
    <w:basedOn w:val="Normal"/>
    <w:link w:val="BalloonTextChar"/>
    <w:uiPriority w:val="99"/>
    <w:semiHidden/>
    <w:unhideWhenUsed/>
    <w:rsid w:val="009525B2"/>
    <w:rPr>
      <w:rFonts w:ascii="Tahoma" w:hAnsi="Tahoma" w:cs="Tahoma"/>
      <w:sz w:val="16"/>
      <w:szCs w:val="16"/>
    </w:rPr>
  </w:style>
  <w:style w:type="character" w:customStyle="1" w:styleId="BalloonTextChar">
    <w:name w:val="Balloon Text Char"/>
    <w:basedOn w:val="DefaultParagraphFont"/>
    <w:link w:val="BalloonText"/>
    <w:uiPriority w:val="99"/>
    <w:semiHidden/>
    <w:rsid w:val="009525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3C"/>
  </w:style>
  <w:style w:type="paragraph" w:styleId="Heading1">
    <w:name w:val="heading 1"/>
    <w:basedOn w:val="Normal"/>
    <w:next w:val="Normal"/>
    <w:link w:val="Heading1Char"/>
    <w:uiPriority w:val="9"/>
    <w:qFormat/>
    <w:rsid w:val="00CC7671"/>
    <w:pPr>
      <w:keepNext/>
      <w:numPr>
        <w:numId w:val="7"/>
      </w:numPr>
      <w:spacing w:before="240" w:after="60"/>
      <w:ind w:right="720"/>
      <w:jc w:val="both"/>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CC7671"/>
    <w:pPr>
      <w:numPr>
        <w:ilvl w:val="1"/>
        <w:numId w:val="7"/>
      </w:num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CC7671"/>
    <w:pPr>
      <w:keepNext/>
      <w:numPr>
        <w:ilvl w:val="2"/>
        <w:numId w:val="7"/>
      </w:numPr>
      <w:spacing w:before="240" w:after="60"/>
      <w:ind w:right="720"/>
      <w:jc w:val="both"/>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CC7671"/>
    <w:pPr>
      <w:keepNext/>
      <w:numPr>
        <w:ilvl w:val="3"/>
        <w:numId w:val="7"/>
      </w:numPr>
      <w:spacing w:before="240" w:after="60"/>
      <w:ind w:right="720"/>
      <w:jc w:val="both"/>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CC7671"/>
    <w:pPr>
      <w:numPr>
        <w:ilvl w:val="4"/>
        <w:numId w:val="7"/>
      </w:numPr>
      <w:spacing w:before="240" w:after="60"/>
      <w:ind w:right="720"/>
      <w:jc w:val="both"/>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CC7671"/>
    <w:pPr>
      <w:numPr>
        <w:ilvl w:val="5"/>
        <w:numId w:val="7"/>
      </w:numPr>
      <w:spacing w:before="240" w:after="60"/>
      <w:ind w:right="720"/>
      <w:jc w:val="both"/>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C7671"/>
    <w:pPr>
      <w:numPr>
        <w:ilvl w:val="6"/>
        <w:numId w:val="7"/>
      </w:numPr>
      <w:spacing w:before="240" w:after="60"/>
      <w:ind w:right="720"/>
      <w:jc w:val="both"/>
      <w:outlineLvl w:val="6"/>
    </w:pPr>
    <w:rPr>
      <w:rFonts w:ascii="Calibri" w:eastAsia="Times New Roman" w:hAnsi="Calibri"/>
    </w:rPr>
  </w:style>
  <w:style w:type="paragraph" w:styleId="Heading8">
    <w:name w:val="heading 8"/>
    <w:basedOn w:val="Normal"/>
    <w:next w:val="Normal"/>
    <w:link w:val="Heading8Char"/>
    <w:uiPriority w:val="9"/>
    <w:unhideWhenUsed/>
    <w:qFormat/>
    <w:rsid w:val="00CC7671"/>
    <w:pPr>
      <w:numPr>
        <w:ilvl w:val="7"/>
        <w:numId w:val="7"/>
      </w:numPr>
      <w:spacing w:before="240" w:after="60"/>
      <w:ind w:right="720"/>
      <w:jc w:val="both"/>
      <w:outlineLvl w:val="7"/>
    </w:pPr>
    <w:rPr>
      <w:rFonts w:ascii="Calibri" w:eastAsia="Times New Roman" w:hAnsi="Calibri"/>
      <w:i/>
      <w:iCs/>
    </w:rPr>
  </w:style>
  <w:style w:type="paragraph" w:styleId="Heading9">
    <w:name w:val="heading 9"/>
    <w:basedOn w:val="Normal"/>
    <w:next w:val="Normal"/>
    <w:link w:val="Heading9Char"/>
    <w:uiPriority w:val="9"/>
    <w:unhideWhenUsed/>
    <w:qFormat/>
    <w:rsid w:val="00CC7671"/>
    <w:pPr>
      <w:numPr>
        <w:ilvl w:val="8"/>
        <w:numId w:val="7"/>
      </w:numPr>
      <w:spacing w:before="240" w:after="60"/>
      <w:ind w:right="720"/>
      <w:jc w:val="both"/>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53005"/>
    <w:rPr>
      <w:rFonts w:eastAsia="Times New Roman"/>
      <w:sz w:val="20"/>
      <w:szCs w:val="20"/>
    </w:rPr>
  </w:style>
  <w:style w:type="character" w:customStyle="1" w:styleId="FootnoteTextChar">
    <w:name w:val="Footnote Text Char"/>
    <w:basedOn w:val="DefaultParagraphFont"/>
    <w:link w:val="FootnoteText"/>
    <w:rsid w:val="00D53005"/>
    <w:rPr>
      <w:rFonts w:ascii="Times New Roman" w:eastAsia="Times New Roman" w:hAnsi="Times New Roman" w:cs="Times New Roman"/>
      <w:sz w:val="20"/>
      <w:szCs w:val="20"/>
    </w:rPr>
  </w:style>
  <w:style w:type="character" w:styleId="FootnoteReference">
    <w:name w:val="footnote reference"/>
    <w:basedOn w:val="DefaultParagraphFont"/>
    <w:rsid w:val="00D53005"/>
    <w:rPr>
      <w:vertAlign w:val="superscript"/>
    </w:rPr>
  </w:style>
  <w:style w:type="paragraph" w:styleId="NormalWeb">
    <w:name w:val="Normal (Web)"/>
    <w:basedOn w:val="Normal"/>
    <w:uiPriority w:val="99"/>
    <w:unhideWhenUsed/>
    <w:rsid w:val="00F86055"/>
    <w:pPr>
      <w:spacing w:before="100" w:beforeAutospacing="1" w:after="100" w:afterAutospacing="1"/>
    </w:pPr>
    <w:rPr>
      <w:rFonts w:eastAsia="Times New Roman"/>
    </w:rPr>
  </w:style>
  <w:style w:type="paragraph" w:styleId="Header">
    <w:name w:val="header"/>
    <w:basedOn w:val="Normal"/>
    <w:link w:val="HeaderChar"/>
    <w:uiPriority w:val="99"/>
    <w:semiHidden/>
    <w:unhideWhenUsed/>
    <w:rsid w:val="00744B9B"/>
    <w:pPr>
      <w:tabs>
        <w:tab w:val="center" w:pos="4680"/>
        <w:tab w:val="right" w:pos="9360"/>
      </w:tabs>
    </w:pPr>
  </w:style>
  <w:style w:type="character" w:customStyle="1" w:styleId="HeaderChar">
    <w:name w:val="Header Char"/>
    <w:basedOn w:val="DefaultParagraphFont"/>
    <w:link w:val="Header"/>
    <w:uiPriority w:val="99"/>
    <w:semiHidden/>
    <w:rsid w:val="00744B9B"/>
  </w:style>
  <w:style w:type="paragraph" w:styleId="Footer">
    <w:name w:val="footer"/>
    <w:basedOn w:val="Normal"/>
    <w:link w:val="FooterChar"/>
    <w:uiPriority w:val="99"/>
    <w:unhideWhenUsed/>
    <w:rsid w:val="00744B9B"/>
    <w:pPr>
      <w:tabs>
        <w:tab w:val="center" w:pos="4680"/>
        <w:tab w:val="right" w:pos="9360"/>
      </w:tabs>
    </w:pPr>
  </w:style>
  <w:style w:type="character" w:customStyle="1" w:styleId="FooterChar">
    <w:name w:val="Footer Char"/>
    <w:basedOn w:val="DefaultParagraphFont"/>
    <w:link w:val="Footer"/>
    <w:uiPriority w:val="99"/>
    <w:rsid w:val="00744B9B"/>
  </w:style>
  <w:style w:type="paragraph" w:styleId="BodyTextIndent">
    <w:name w:val="Body Text Indent"/>
    <w:basedOn w:val="Normal"/>
    <w:link w:val="BodyTextIndentChar"/>
    <w:rsid w:val="00E54B6A"/>
    <w:pPr>
      <w:ind w:left="720"/>
    </w:pPr>
    <w:rPr>
      <w:rFonts w:eastAsia="Times New Roman"/>
    </w:rPr>
  </w:style>
  <w:style w:type="character" w:customStyle="1" w:styleId="BodyTextIndentChar">
    <w:name w:val="Body Text Indent Char"/>
    <w:basedOn w:val="DefaultParagraphFont"/>
    <w:link w:val="BodyTextIndent"/>
    <w:rsid w:val="00E54B6A"/>
    <w:rPr>
      <w:rFonts w:eastAsia="Times New Roman"/>
    </w:rPr>
  </w:style>
  <w:style w:type="character" w:customStyle="1" w:styleId="Heading1Char">
    <w:name w:val="Heading 1 Char"/>
    <w:basedOn w:val="DefaultParagraphFont"/>
    <w:link w:val="Heading1"/>
    <w:uiPriority w:val="9"/>
    <w:rsid w:val="00CC767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CC7671"/>
    <w:rPr>
      <w:rFonts w:eastAsia="Times New Roman"/>
      <w:b/>
      <w:bCs/>
      <w:sz w:val="36"/>
      <w:szCs w:val="36"/>
    </w:rPr>
  </w:style>
  <w:style w:type="character" w:customStyle="1" w:styleId="Heading3Char">
    <w:name w:val="Heading 3 Char"/>
    <w:basedOn w:val="DefaultParagraphFont"/>
    <w:link w:val="Heading3"/>
    <w:uiPriority w:val="9"/>
    <w:rsid w:val="00CC7671"/>
    <w:rPr>
      <w:rFonts w:ascii="Cambria" w:eastAsia="Times New Roman" w:hAnsi="Cambria"/>
      <w:b/>
      <w:bCs/>
      <w:sz w:val="26"/>
      <w:szCs w:val="26"/>
    </w:rPr>
  </w:style>
  <w:style w:type="character" w:customStyle="1" w:styleId="Heading4Char">
    <w:name w:val="Heading 4 Char"/>
    <w:basedOn w:val="DefaultParagraphFont"/>
    <w:link w:val="Heading4"/>
    <w:uiPriority w:val="9"/>
    <w:rsid w:val="00CC7671"/>
    <w:rPr>
      <w:rFonts w:ascii="Calibri" w:eastAsia="Times New Roman" w:hAnsi="Calibri"/>
      <w:b/>
      <w:bCs/>
      <w:sz w:val="28"/>
      <w:szCs w:val="28"/>
    </w:rPr>
  </w:style>
  <w:style w:type="character" w:customStyle="1" w:styleId="Heading5Char">
    <w:name w:val="Heading 5 Char"/>
    <w:basedOn w:val="DefaultParagraphFont"/>
    <w:link w:val="Heading5"/>
    <w:uiPriority w:val="9"/>
    <w:rsid w:val="00CC7671"/>
    <w:rPr>
      <w:rFonts w:ascii="Calibri" w:eastAsia="Times New Roman" w:hAnsi="Calibri"/>
      <w:b/>
      <w:bCs/>
      <w:i/>
      <w:iCs/>
      <w:sz w:val="26"/>
      <w:szCs w:val="26"/>
    </w:rPr>
  </w:style>
  <w:style w:type="character" w:customStyle="1" w:styleId="Heading6Char">
    <w:name w:val="Heading 6 Char"/>
    <w:basedOn w:val="DefaultParagraphFont"/>
    <w:link w:val="Heading6"/>
    <w:uiPriority w:val="9"/>
    <w:rsid w:val="00CC7671"/>
    <w:rPr>
      <w:rFonts w:ascii="Calibri" w:eastAsia="Times New Roman" w:hAnsi="Calibri"/>
      <w:b/>
      <w:bCs/>
      <w:sz w:val="22"/>
      <w:szCs w:val="22"/>
    </w:rPr>
  </w:style>
  <w:style w:type="character" w:customStyle="1" w:styleId="Heading7Char">
    <w:name w:val="Heading 7 Char"/>
    <w:basedOn w:val="DefaultParagraphFont"/>
    <w:link w:val="Heading7"/>
    <w:uiPriority w:val="9"/>
    <w:rsid w:val="00CC7671"/>
    <w:rPr>
      <w:rFonts w:ascii="Calibri" w:eastAsia="Times New Roman" w:hAnsi="Calibri"/>
    </w:rPr>
  </w:style>
  <w:style w:type="character" w:customStyle="1" w:styleId="Heading8Char">
    <w:name w:val="Heading 8 Char"/>
    <w:basedOn w:val="DefaultParagraphFont"/>
    <w:link w:val="Heading8"/>
    <w:uiPriority w:val="9"/>
    <w:rsid w:val="00CC7671"/>
    <w:rPr>
      <w:rFonts w:ascii="Calibri" w:eastAsia="Times New Roman" w:hAnsi="Calibri"/>
      <w:i/>
      <w:iCs/>
    </w:rPr>
  </w:style>
  <w:style w:type="character" w:customStyle="1" w:styleId="Heading9Char">
    <w:name w:val="Heading 9 Char"/>
    <w:basedOn w:val="DefaultParagraphFont"/>
    <w:link w:val="Heading9"/>
    <w:uiPriority w:val="9"/>
    <w:rsid w:val="00CC7671"/>
    <w:rPr>
      <w:rFonts w:ascii="Cambria" w:eastAsia="Times New Roman" w:hAnsi="Cambria"/>
      <w:sz w:val="22"/>
      <w:szCs w:val="22"/>
    </w:rPr>
  </w:style>
  <w:style w:type="paragraph" w:styleId="ListParagraph">
    <w:name w:val="List Paragraph"/>
    <w:basedOn w:val="Normal"/>
    <w:uiPriority w:val="34"/>
    <w:qFormat/>
    <w:rsid w:val="00CC7671"/>
    <w:pPr>
      <w:ind w:left="720"/>
      <w:contextualSpacing/>
    </w:pPr>
    <w:rPr>
      <w:rFonts w:eastAsia="Times New Roman"/>
    </w:rPr>
  </w:style>
  <w:style w:type="paragraph" w:styleId="BodyText">
    <w:name w:val="Body Text"/>
    <w:basedOn w:val="Normal"/>
    <w:link w:val="BodyTextChar"/>
    <w:uiPriority w:val="99"/>
    <w:semiHidden/>
    <w:unhideWhenUsed/>
    <w:rsid w:val="00345612"/>
    <w:pPr>
      <w:spacing w:after="120"/>
    </w:pPr>
  </w:style>
  <w:style w:type="character" w:customStyle="1" w:styleId="BodyTextChar">
    <w:name w:val="Body Text Char"/>
    <w:basedOn w:val="DefaultParagraphFont"/>
    <w:link w:val="BodyText"/>
    <w:uiPriority w:val="99"/>
    <w:semiHidden/>
    <w:rsid w:val="00345612"/>
  </w:style>
  <w:style w:type="paragraph" w:styleId="BalloonText">
    <w:name w:val="Balloon Text"/>
    <w:basedOn w:val="Normal"/>
    <w:link w:val="BalloonTextChar"/>
    <w:uiPriority w:val="99"/>
    <w:semiHidden/>
    <w:unhideWhenUsed/>
    <w:rsid w:val="009525B2"/>
    <w:rPr>
      <w:rFonts w:ascii="Tahoma" w:hAnsi="Tahoma" w:cs="Tahoma"/>
      <w:sz w:val="16"/>
      <w:szCs w:val="16"/>
    </w:rPr>
  </w:style>
  <w:style w:type="character" w:customStyle="1" w:styleId="BalloonTextChar">
    <w:name w:val="Balloon Text Char"/>
    <w:basedOn w:val="DefaultParagraphFont"/>
    <w:link w:val="BalloonText"/>
    <w:uiPriority w:val="99"/>
    <w:semiHidden/>
    <w:rsid w:val="00952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31674">
      <w:bodyDiv w:val="1"/>
      <w:marLeft w:val="0"/>
      <w:marRight w:val="0"/>
      <w:marTop w:val="0"/>
      <w:marBottom w:val="0"/>
      <w:divBdr>
        <w:top w:val="none" w:sz="0" w:space="0" w:color="auto"/>
        <w:left w:val="none" w:sz="0" w:space="0" w:color="auto"/>
        <w:bottom w:val="none" w:sz="0" w:space="0" w:color="auto"/>
        <w:right w:val="none" w:sz="0" w:space="0" w:color="auto"/>
      </w:divBdr>
      <w:divsChild>
        <w:div w:id="970671383">
          <w:marLeft w:val="0"/>
          <w:marRight w:val="0"/>
          <w:marTop w:val="0"/>
          <w:marBottom w:val="0"/>
          <w:divBdr>
            <w:top w:val="none" w:sz="0" w:space="0" w:color="auto"/>
            <w:left w:val="none" w:sz="0" w:space="0" w:color="auto"/>
            <w:bottom w:val="none" w:sz="0" w:space="0" w:color="auto"/>
            <w:right w:val="none" w:sz="0" w:space="0" w:color="auto"/>
          </w:divBdr>
          <w:divsChild>
            <w:div w:id="939407409">
              <w:marLeft w:val="0"/>
              <w:marRight w:val="0"/>
              <w:marTop w:val="0"/>
              <w:marBottom w:val="0"/>
              <w:divBdr>
                <w:top w:val="none" w:sz="0" w:space="0" w:color="auto"/>
                <w:left w:val="none" w:sz="0" w:space="0" w:color="auto"/>
                <w:bottom w:val="none" w:sz="0" w:space="0" w:color="auto"/>
                <w:right w:val="none" w:sz="0" w:space="0" w:color="auto"/>
              </w:divBdr>
              <w:divsChild>
                <w:div w:id="11119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66786">
      <w:bodyDiv w:val="1"/>
      <w:marLeft w:val="0"/>
      <w:marRight w:val="0"/>
      <w:marTop w:val="0"/>
      <w:marBottom w:val="0"/>
      <w:divBdr>
        <w:top w:val="none" w:sz="0" w:space="0" w:color="auto"/>
        <w:left w:val="none" w:sz="0" w:space="0" w:color="auto"/>
        <w:bottom w:val="none" w:sz="0" w:space="0" w:color="auto"/>
        <w:right w:val="none" w:sz="0" w:space="0" w:color="auto"/>
      </w:divBdr>
      <w:divsChild>
        <w:div w:id="1299722577">
          <w:marLeft w:val="0"/>
          <w:marRight w:val="0"/>
          <w:marTop w:val="0"/>
          <w:marBottom w:val="0"/>
          <w:divBdr>
            <w:top w:val="none" w:sz="0" w:space="0" w:color="auto"/>
            <w:left w:val="none" w:sz="0" w:space="0" w:color="auto"/>
            <w:bottom w:val="none" w:sz="0" w:space="0" w:color="auto"/>
            <w:right w:val="none" w:sz="0" w:space="0" w:color="auto"/>
          </w:divBdr>
          <w:divsChild>
            <w:div w:id="777792937">
              <w:marLeft w:val="0"/>
              <w:marRight w:val="0"/>
              <w:marTop w:val="0"/>
              <w:marBottom w:val="0"/>
              <w:divBdr>
                <w:top w:val="none" w:sz="0" w:space="0" w:color="auto"/>
                <w:left w:val="none" w:sz="0" w:space="0" w:color="auto"/>
                <w:bottom w:val="none" w:sz="0" w:space="0" w:color="auto"/>
                <w:right w:val="none" w:sz="0" w:space="0" w:color="auto"/>
              </w:divBdr>
              <w:divsChild>
                <w:div w:id="17728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Mapetsi Policy Group</Company>
  <LinksUpToDate>false</LinksUpToDate>
  <CharactersWithSpaces>22544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Harte</dc:creator>
  <cp:lastModifiedBy>Mark Van Norman</cp:lastModifiedBy>
  <cp:revision>3</cp:revision>
  <cp:lastPrinted>2011-07-26T21:14:00Z</cp:lastPrinted>
  <dcterms:created xsi:type="dcterms:W3CDTF">2011-07-26T21:23:00Z</dcterms:created>
  <dcterms:modified xsi:type="dcterms:W3CDTF">2011-07-26T21:26:00Z</dcterms:modified>
</cp:coreProperties>
</file>