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7B" w:rsidRDefault="0002347B" w:rsidP="0002347B">
      <w:pPr>
        <w:jc w:val="center"/>
        <w:rPr>
          <w:b/>
        </w:rPr>
      </w:pPr>
      <w:bookmarkStart w:id="0" w:name="_GoBack"/>
      <w:bookmarkEnd w:id="0"/>
      <w:r w:rsidRPr="00F74AE8">
        <w:rPr>
          <w:b/>
        </w:rPr>
        <w:t>TESTIMONY OF DOUGLAS NASH, DIRECTOR</w:t>
      </w:r>
    </w:p>
    <w:p w:rsidR="004276CB" w:rsidRPr="00F74AE8" w:rsidRDefault="004276CB" w:rsidP="0002347B">
      <w:pPr>
        <w:jc w:val="center"/>
        <w:rPr>
          <w:b/>
        </w:rPr>
      </w:pPr>
      <w:r>
        <w:rPr>
          <w:b/>
        </w:rPr>
        <w:t>CENTER FOR INDIAN LAW AND POLICY</w:t>
      </w:r>
    </w:p>
    <w:p w:rsidR="0002347B" w:rsidRDefault="0002347B" w:rsidP="0002347B">
      <w:pPr>
        <w:jc w:val="center"/>
        <w:rPr>
          <w:b/>
        </w:rPr>
      </w:pPr>
      <w:r w:rsidRPr="00F74AE8">
        <w:rPr>
          <w:b/>
        </w:rPr>
        <w:t>INSTITUTE FOR INDIAN ESTATE PLANNING AND PROBATE</w:t>
      </w:r>
    </w:p>
    <w:p w:rsidR="004276CB" w:rsidRPr="00F74AE8" w:rsidRDefault="004276CB" w:rsidP="0002347B">
      <w:pPr>
        <w:jc w:val="center"/>
        <w:rPr>
          <w:b/>
        </w:rPr>
      </w:pPr>
      <w:r>
        <w:rPr>
          <w:b/>
        </w:rPr>
        <w:t>SEATTLE UNIVERSITY SCHOOL OF LAW</w:t>
      </w:r>
    </w:p>
    <w:p w:rsidR="0002347B" w:rsidRPr="00F74AE8" w:rsidRDefault="0002347B" w:rsidP="0002347B">
      <w:pPr>
        <w:jc w:val="center"/>
        <w:rPr>
          <w:b/>
        </w:rPr>
      </w:pPr>
      <w:r w:rsidRPr="00F74AE8">
        <w:rPr>
          <w:b/>
        </w:rPr>
        <w:t>BEFORE THE</w:t>
      </w:r>
    </w:p>
    <w:p w:rsidR="0002347B" w:rsidRDefault="00CB1288" w:rsidP="00CB1288">
      <w:pPr>
        <w:jc w:val="center"/>
        <w:rPr>
          <w:b/>
        </w:rPr>
      </w:pPr>
      <w:r>
        <w:rPr>
          <w:b/>
        </w:rPr>
        <w:t>UNITED STATE SENATE COMMITTEE ON INDIAN AFFAIRS</w:t>
      </w:r>
    </w:p>
    <w:p w:rsidR="00CB1288" w:rsidRPr="00F74AE8" w:rsidRDefault="00CB1288" w:rsidP="00CB1288">
      <w:pPr>
        <w:jc w:val="center"/>
        <w:rPr>
          <w:b/>
        </w:rPr>
      </w:pPr>
      <w:r>
        <w:rPr>
          <w:b/>
        </w:rPr>
        <w:t>ON THE AMERICAN INDIAN PROBATE REFORM ACT</w:t>
      </w:r>
    </w:p>
    <w:p w:rsidR="0002347B" w:rsidRDefault="00CB1288" w:rsidP="0002347B">
      <w:pPr>
        <w:jc w:val="center"/>
        <w:rPr>
          <w:b/>
        </w:rPr>
      </w:pPr>
      <w:r>
        <w:rPr>
          <w:b/>
        </w:rPr>
        <w:t>AUGUST 4, 2011</w:t>
      </w:r>
    </w:p>
    <w:p w:rsidR="000064F3" w:rsidRDefault="000064F3" w:rsidP="0002347B">
      <w:pPr>
        <w:jc w:val="center"/>
        <w:rPr>
          <w:b/>
        </w:rPr>
      </w:pPr>
    </w:p>
    <w:p w:rsidR="000064F3" w:rsidRPr="00F74AE8" w:rsidRDefault="000064F3" w:rsidP="0002347B">
      <w:pPr>
        <w:jc w:val="center"/>
        <w:rPr>
          <w:b/>
        </w:rPr>
      </w:pPr>
    </w:p>
    <w:p w:rsidR="0002347B" w:rsidRDefault="0002347B"/>
    <w:p w:rsidR="00766ED2" w:rsidRDefault="00766ED2"/>
    <w:p w:rsidR="00766ED2" w:rsidRDefault="00766ED2">
      <w:r>
        <w:t xml:space="preserve">The fractionated ownership of Indian allotments created by the General Allotment </w:t>
      </w:r>
      <w:r w:rsidR="00A10253">
        <w:t>Act</w:t>
      </w:r>
      <w:r w:rsidR="00123DD6">
        <w:t xml:space="preserve"> of 1887 (GAA)</w:t>
      </w:r>
      <w:r w:rsidR="004276CB">
        <w:t xml:space="preserve"> has been estimated to cost</w:t>
      </w:r>
      <w:r>
        <w:t xml:space="preserve"> the Department of the Interior approximately $432 million annually to manage.</w:t>
      </w:r>
      <w:r w:rsidR="00F93974">
        <w:rPr>
          <w:rStyle w:val="FootnoteReference"/>
        </w:rPr>
        <w:footnoteReference w:id="2"/>
      </w:r>
      <w:r>
        <w:t xml:space="preserve">  T</w:t>
      </w:r>
      <w:r w:rsidR="00B26113">
        <w:t>hese costs will continue to increase each year if decisive action is not taken</w:t>
      </w:r>
      <w:r>
        <w:t xml:space="preserve"> to </w:t>
      </w:r>
      <w:r w:rsidR="00141211">
        <w:t>appropriate the funds authorized in the American Indian Probate Reform Act (AIPRA)</w:t>
      </w:r>
      <w:r w:rsidR="00A54CE1">
        <w:rPr>
          <w:rStyle w:val="FootnoteReference"/>
        </w:rPr>
        <w:footnoteReference w:id="3"/>
      </w:r>
      <w:r w:rsidR="00953973">
        <w:t xml:space="preserve"> and to fully implement other components of the Act such as the pilot project for management of family trust assets (25 USC 2206(l)), the fractional interest buyback program (25 USC 2212) and the owner managed trust option (2220).</w:t>
      </w:r>
    </w:p>
    <w:p w:rsidR="00141211" w:rsidRDefault="00141211"/>
    <w:p w:rsidR="00F80654" w:rsidRDefault="00003C2F" w:rsidP="00003C2F">
      <w:pPr>
        <w:autoSpaceDE w:val="0"/>
        <w:autoSpaceDN w:val="0"/>
        <w:adjustRightInd w:val="0"/>
      </w:pPr>
      <w:r>
        <w:rPr>
          <w:rFonts w:ascii="TimesNewRomanPSMT" w:hAnsi="TimesNewRomanPSMT" w:cs="TimesNewRomanPSMT"/>
        </w:rPr>
        <w:t>Over time, the system of allotments established by the G</w:t>
      </w:r>
      <w:r w:rsidR="0061287F">
        <w:rPr>
          <w:rFonts w:ascii="TimesNewRomanPSMT" w:hAnsi="TimesNewRomanPSMT" w:cs="TimesNewRomanPSMT"/>
        </w:rPr>
        <w:t>AA</w:t>
      </w:r>
      <w:r>
        <w:rPr>
          <w:rFonts w:ascii="TimesNewRomanPSMT" w:hAnsi="TimesNewRomanPSMT" w:cs="TimesNewRomanPSMT"/>
        </w:rPr>
        <w:t xml:space="preserve"> and subsequent intestate inheritance by multiple generations of desc</w:t>
      </w:r>
      <w:r w:rsidR="006D5005">
        <w:rPr>
          <w:rFonts w:ascii="TimesNewRomanPSMT" w:hAnsi="TimesNewRomanPSMT" w:cs="TimesNewRomanPSMT"/>
        </w:rPr>
        <w:t>endents has resulted in the fractionated ownership</w:t>
      </w:r>
      <w:r>
        <w:rPr>
          <w:rFonts w:ascii="TimesNewRomanPSMT" w:hAnsi="TimesNewRomanPSMT" w:cs="TimesNewRomanPSMT"/>
        </w:rPr>
        <w:t xml:space="preserve"> of Indian lands. As original </w:t>
      </w:r>
      <w:proofErr w:type="spellStart"/>
      <w:r>
        <w:rPr>
          <w:rFonts w:ascii="TimesNewRomanPSMT" w:hAnsi="TimesNewRomanPSMT" w:cs="TimesNewRomanPSMT"/>
        </w:rPr>
        <w:t>allottee</w:t>
      </w:r>
      <w:r w:rsidR="00CB1288">
        <w:rPr>
          <w:rFonts w:ascii="TimesNewRomanPSMT" w:hAnsi="TimesNewRomanPSMT" w:cs="TimesNewRomanPSMT"/>
        </w:rPr>
        <w:t>s</w:t>
      </w:r>
      <w:proofErr w:type="spellEnd"/>
      <w:r w:rsidR="00CB1288">
        <w:rPr>
          <w:rFonts w:ascii="TimesNewRomanPSMT" w:hAnsi="TimesNewRomanPSMT" w:cs="TimesNewRomanPSMT"/>
        </w:rPr>
        <w:t xml:space="preserve"> died, their heirs received </w:t>
      </w:r>
      <w:r>
        <w:rPr>
          <w:rFonts w:ascii="TimesNewRomanPSMT" w:hAnsi="TimesNewRomanPSMT" w:cs="TimesNewRomanPSMT"/>
        </w:rPr>
        <w:t>equal, undivided interest</w:t>
      </w:r>
      <w:r w:rsidR="00CB1288">
        <w:rPr>
          <w:rFonts w:ascii="TimesNewRomanPSMT" w:hAnsi="TimesNewRomanPSMT" w:cs="TimesNewRomanPSMT"/>
        </w:rPr>
        <w:t>s</w:t>
      </w:r>
      <w:r>
        <w:rPr>
          <w:rFonts w:ascii="TimesNewRomanPSMT" w:hAnsi="TimesNewRomanPSMT" w:cs="TimesNewRomanPSMT"/>
        </w:rPr>
        <w:t xml:space="preserve"> in the </w:t>
      </w:r>
      <w:proofErr w:type="spellStart"/>
      <w:r>
        <w:rPr>
          <w:rFonts w:ascii="TimesNewRomanPSMT" w:hAnsi="TimesNewRomanPSMT" w:cs="TimesNewRomanPSMT"/>
        </w:rPr>
        <w:t>allottees</w:t>
      </w:r>
      <w:proofErr w:type="spellEnd"/>
      <w:r>
        <w:rPr>
          <w:rFonts w:ascii="TimesNewRomanPSMT" w:hAnsi="TimesNewRomanPSMT" w:cs="TimesNewRomanPSMT"/>
        </w:rPr>
        <w:t>’ lands</w:t>
      </w:r>
      <w:r w:rsidR="00E46E87">
        <w:rPr>
          <w:rFonts w:ascii="TimesNewRomanPSMT" w:hAnsi="TimesNewRomanPSMT" w:cs="TimesNewRomanPSMT"/>
        </w:rPr>
        <w:t>, and so it went for generations</w:t>
      </w:r>
      <w:r>
        <w:rPr>
          <w:rFonts w:ascii="TimesNewRomanPSMT" w:hAnsi="TimesNewRomanPSMT" w:cs="TimesNewRomanPSMT"/>
        </w:rPr>
        <w:t>.</w:t>
      </w:r>
      <w:r w:rsidR="00BD6C38">
        <w:t xml:space="preserve">  </w:t>
      </w:r>
      <w:r>
        <w:rPr>
          <w:rFonts w:ascii="TimesNewRomanPSMT" w:hAnsi="TimesNewRomanPSMT" w:cs="TimesNewRomanPSMT"/>
        </w:rPr>
        <w:t>As of 2005</w:t>
      </w:r>
      <w:r w:rsidR="006361E7">
        <w:rPr>
          <w:rFonts w:ascii="TimesNewRomanPSMT" w:hAnsi="TimesNewRomanPSMT" w:cs="TimesNewRomanPSMT"/>
        </w:rPr>
        <w:t xml:space="preserve">, there </w:t>
      </w:r>
      <w:r>
        <w:rPr>
          <w:rFonts w:ascii="TimesNewRomanPSMT" w:hAnsi="TimesNewRomanPSMT" w:cs="TimesNewRomanPSMT"/>
        </w:rPr>
        <w:t>we</w:t>
      </w:r>
      <w:r w:rsidR="006361E7">
        <w:rPr>
          <w:rFonts w:ascii="TimesNewRomanPSMT" w:hAnsi="TimesNewRomanPSMT" w:cs="TimesNewRomanPSMT"/>
        </w:rPr>
        <w:t xml:space="preserve">re </w:t>
      </w:r>
      <w:r w:rsidR="004276CB">
        <w:rPr>
          <w:rFonts w:ascii="TimesNewRomanPSMT" w:hAnsi="TimesNewRomanPSMT" w:cs="TimesNewRomanPSMT"/>
        </w:rPr>
        <w:t>four million</w:t>
      </w:r>
      <w:r w:rsidR="006361E7">
        <w:rPr>
          <w:rFonts w:ascii="TimesNewRomanPSMT" w:hAnsi="TimesNewRomanPSMT" w:cs="TimesNewRomanPSMT"/>
        </w:rPr>
        <w:t xml:space="preserve"> owner interests in the </w:t>
      </w:r>
      <w:r w:rsidR="004276CB">
        <w:rPr>
          <w:rFonts w:ascii="TimesNewRomanPSMT" w:hAnsi="TimesNewRomanPSMT" w:cs="TimesNewRomanPSMT"/>
        </w:rPr>
        <w:t>140,000 tracts</w:t>
      </w:r>
      <w:r w:rsidR="006361E7">
        <w:rPr>
          <w:rFonts w:ascii="TimesNewRomanPSMT" w:hAnsi="TimesNewRomanPSMT" w:cs="TimesNewRomanPSMT"/>
        </w:rPr>
        <w:t xml:space="preserve"> of individually owned trust lands, a situation the magnitude of which makes management of trust assets extremely difficult and costly.</w:t>
      </w:r>
      <w:r w:rsidR="006361E7">
        <w:rPr>
          <w:rStyle w:val="FootnoteReference"/>
          <w:rFonts w:ascii="TimesNewRomanPSMT" w:hAnsi="TimesNewRomanPSMT" w:cs="TimesNewRomanPSMT"/>
        </w:rPr>
        <w:footnoteReference w:id="4"/>
      </w:r>
      <w:r w:rsidR="006361E7">
        <w:rPr>
          <w:rFonts w:ascii="TimesNewRomanPSMT" w:hAnsi="TimesNewRomanPSMT" w:cs="TimesNewRomanPSMT"/>
        </w:rPr>
        <w:t xml:space="preserve"> </w:t>
      </w:r>
      <w:r>
        <w:rPr>
          <w:rFonts w:ascii="TimesNewRomanPSMT" w:hAnsi="TimesNewRomanPSMT" w:cs="TimesNewRomanPSMT"/>
        </w:rPr>
        <w:t xml:space="preserve"> </w:t>
      </w:r>
      <w:r w:rsidR="006361E7">
        <w:rPr>
          <w:rFonts w:ascii="TimesNewRomanPSMT" w:hAnsi="TimesNewRomanPSMT" w:cs="TimesNewRomanPSMT"/>
        </w:rPr>
        <w:t xml:space="preserve">These </w:t>
      </w:r>
      <w:r w:rsidR="004276CB">
        <w:rPr>
          <w:rFonts w:ascii="TimesNewRomanPSMT" w:hAnsi="TimesNewRomanPSMT" w:cs="TimesNewRomanPSMT"/>
        </w:rPr>
        <w:t xml:space="preserve">four million interests will expand to eleven million interests by 2030 unless major changes are made to address the </w:t>
      </w:r>
      <w:proofErr w:type="gramStart"/>
      <w:r w:rsidR="004276CB">
        <w:rPr>
          <w:rFonts w:ascii="TimesNewRomanPSMT" w:hAnsi="TimesNewRomanPSMT" w:cs="TimesNewRomanPSMT"/>
        </w:rPr>
        <w:t>problem</w:t>
      </w:r>
      <w:proofErr w:type="gramEnd"/>
      <w:r w:rsidR="006361E7">
        <w:rPr>
          <w:rFonts w:ascii="TimesNewRomanPSMT" w:hAnsi="TimesNewRomanPSMT" w:cs="TimesNewRomanPSMT"/>
        </w:rPr>
        <w:t>.</w:t>
      </w:r>
      <w:r>
        <w:rPr>
          <w:rStyle w:val="FootnoteReference"/>
          <w:rFonts w:ascii="TimesNewRomanPSMT" w:hAnsi="TimesNewRomanPSMT" w:cs="TimesNewRomanPSMT"/>
        </w:rPr>
        <w:footnoteReference w:id="5"/>
      </w:r>
      <w:r>
        <w:rPr>
          <w:rFonts w:ascii="TimesNewRomanPSMT" w:hAnsi="TimesNewRomanPSMT" w:cs="TimesNewRomanPSMT"/>
        </w:rPr>
        <w:t xml:space="preserve"> </w:t>
      </w:r>
      <w:r w:rsidR="00BD6C38">
        <w:t xml:space="preserve">  </w:t>
      </w:r>
    </w:p>
    <w:p w:rsidR="007342D4" w:rsidRDefault="007342D4"/>
    <w:p w:rsidR="00EB0D53" w:rsidRDefault="00F80654">
      <w:r>
        <w:t xml:space="preserve">The Department of the Interior is responsible for </w:t>
      </w:r>
      <w:r w:rsidR="00E46E87">
        <w:t>maintaining</w:t>
      </w:r>
      <w:r>
        <w:t xml:space="preserve"> </w:t>
      </w:r>
      <w:r w:rsidR="00E46E87">
        <w:t xml:space="preserve">title records of all trust land interests and managing </w:t>
      </w:r>
      <w:r>
        <w:t xml:space="preserve">income derived from the leases of </w:t>
      </w:r>
      <w:r w:rsidR="00720D74">
        <w:t>trust land interests</w:t>
      </w:r>
      <w:r>
        <w:t>.  Income must be allocated among all of the owners of undivided interests in each allotment.  In some instance</w:t>
      </w:r>
      <w:r w:rsidR="006D5005">
        <w:t>s</w:t>
      </w:r>
      <w:r>
        <w:t>, the common denominator required to make this calculation extends 26 digits.</w:t>
      </w:r>
      <w:r w:rsidR="00E46E87">
        <w:rPr>
          <w:rStyle w:val="FootnoteReference"/>
        </w:rPr>
        <w:footnoteReference w:id="6"/>
      </w:r>
      <w:r>
        <w:t xml:space="preserve">  Income is maintained in </w:t>
      </w:r>
      <w:r w:rsidR="00BC2C37">
        <w:t xml:space="preserve">federal </w:t>
      </w:r>
      <w:r>
        <w:t xml:space="preserve">Individual Indian Money (IIM) accounts for the individual owners, regardless of the size of their interest.  </w:t>
      </w:r>
      <w:r w:rsidR="00720D74">
        <w:t>I</w:t>
      </w:r>
      <w:r w:rsidR="00B26113">
        <w:t>n</w:t>
      </w:r>
      <w:r w:rsidR="00720D74">
        <w:t xml:space="preserve"> </w:t>
      </w:r>
      <w:r w:rsidR="00123DD6">
        <w:t xml:space="preserve">1987, </w:t>
      </w:r>
      <w:r w:rsidR="00720D74">
        <w:t xml:space="preserve">for example, </w:t>
      </w:r>
      <w:r w:rsidR="00123DD6">
        <w:t>one</w:t>
      </w:r>
      <w:r w:rsidR="0053722A">
        <w:t xml:space="preserve"> allotment had 439 owners with the smallest heir receiving $.01 every 177 years and </w:t>
      </w:r>
      <w:r w:rsidR="00720D74">
        <w:t>receiving</w:t>
      </w:r>
      <w:r w:rsidR="0053722A">
        <w:t xml:space="preserve"> $.000418 of the $8,000.00 </w:t>
      </w:r>
    </w:p>
    <w:p w:rsidR="00EB0D53" w:rsidRDefault="00EB0D53"/>
    <w:p w:rsidR="00EB0D53" w:rsidRDefault="00EB0D53"/>
    <w:p w:rsidR="00F80654" w:rsidRPr="0053722A" w:rsidRDefault="0061287F">
      <w:proofErr w:type="gramStart"/>
      <w:r>
        <w:t>appraised</w:t>
      </w:r>
      <w:proofErr w:type="gramEnd"/>
      <w:r>
        <w:t xml:space="preserve"> </w:t>
      </w:r>
      <w:r w:rsidR="0053722A">
        <w:t xml:space="preserve">value if </w:t>
      </w:r>
      <w:r w:rsidR="00720D74">
        <w:t xml:space="preserve">that heir’s interest </w:t>
      </w:r>
      <w:r w:rsidR="0053722A">
        <w:t>were sold</w:t>
      </w:r>
      <w:r w:rsidR="00774110">
        <w:rPr>
          <w:rStyle w:val="FootnoteReference"/>
        </w:rPr>
        <w:footnoteReference w:id="7"/>
      </w:r>
      <w:r w:rsidR="0053722A">
        <w:t xml:space="preserve">.  </w:t>
      </w:r>
      <w:r w:rsidR="00B26113">
        <w:t>Ross Swimmer testified that the</w:t>
      </w:r>
      <w:r w:rsidR="0053722A">
        <w:t xml:space="preserve"> BIA’s administrative costs for this parcel were estimated at $17,560 annually</w:t>
      </w:r>
      <w:r w:rsidR="007342D4">
        <w:t>.</w:t>
      </w:r>
      <w:r w:rsidR="00774110">
        <w:rPr>
          <w:rStyle w:val="FootnoteReference"/>
        </w:rPr>
        <w:footnoteReference w:id="8"/>
      </w:r>
      <w:r w:rsidR="00392E65">
        <w:t xml:space="preserve"> </w:t>
      </w:r>
      <w:r w:rsidR="00C67F2D">
        <w:t>One can only imagine what those figures are today after 24 more years of fractionation.</w:t>
      </w:r>
    </w:p>
    <w:p w:rsidR="00C67F2D" w:rsidRDefault="00C67F2D"/>
    <w:p w:rsidR="00C67F2D" w:rsidRDefault="00C67F2D">
      <w:r>
        <w:t>Those are, admittedly, some of the extreme examples that exist.  Nevertheless, it is not uncommon for allotments to have hundreds of owners of undivided interests.  In order to fully assess the depth and breadth of the problem, it would be helpful to have current figures that show:</w:t>
      </w:r>
    </w:p>
    <w:p w:rsidR="00C67F2D" w:rsidRDefault="00C67F2D"/>
    <w:p w:rsidR="00C67F2D" w:rsidRDefault="00C67F2D" w:rsidP="00C67F2D">
      <w:pPr>
        <w:numPr>
          <w:ilvl w:val="0"/>
          <w:numId w:val="1"/>
        </w:numPr>
      </w:pPr>
      <w:r>
        <w:t>The number of trust interests that currently exist;</w:t>
      </w:r>
    </w:p>
    <w:p w:rsidR="00C67F2D" w:rsidRDefault="00C67F2D" w:rsidP="00C67F2D">
      <w:pPr>
        <w:numPr>
          <w:ilvl w:val="0"/>
          <w:numId w:val="1"/>
        </w:numPr>
      </w:pPr>
      <w:r>
        <w:t xml:space="preserve">The </w:t>
      </w:r>
      <w:r w:rsidR="0005318E">
        <w:t xml:space="preserve">range and </w:t>
      </w:r>
      <w:r>
        <w:t>average size of those interests;</w:t>
      </w:r>
    </w:p>
    <w:p w:rsidR="00C67F2D" w:rsidRDefault="00C67F2D" w:rsidP="00C67F2D">
      <w:pPr>
        <w:numPr>
          <w:ilvl w:val="0"/>
          <w:numId w:val="1"/>
        </w:numPr>
      </w:pPr>
      <w:r>
        <w:t>The rate at which these interests increase each year;</w:t>
      </w:r>
    </w:p>
    <w:p w:rsidR="00C67F2D" w:rsidRDefault="00C67F2D" w:rsidP="00C67F2D">
      <w:pPr>
        <w:numPr>
          <w:ilvl w:val="0"/>
          <w:numId w:val="1"/>
        </w:numPr>
      </w:pPr>
      <w:r>
        <w:t>The average number of interests per allotment; and</w:t>
      </w:r>
    </w:p>
    <w:p w:rsidR="00C67F2D" w:rsidRDefault="00C67F2D" w:rsidP="00C67F2D">
      <w:pPr>
        <w:numPr>
          <w:ilvl w:val="0"/>
          <w:numId w:val="1"/>
        </w:numPr>
      </w:pPr>
      <w:r>
        <w:t>The cost to administer each interest.</w:t>
      </w:r>
    </w:p>
    <w:p w:rsidR="00991758" w:rsidRDefault="00991758" w:rsidP="00C67F2D">
      <w:pPr>
        <w:numPr>
          <w:ilvl w:val="0"/>
          <w:numId w:val="1"/>
        </w:numPr>
      </w:pPr>
      <w:r>
        <w:t>Where the most fractionated allotments are located</w:t>
      </w:r>
    </w:p>
    <w:p w:rsidR="00991758" w:rsidRDefault="00991758" w:rsidP="00C67F2D">
      <w:pPr>
        <w:numPr>
          <w:ilvl w:val="0"/>
          <w:numId w:val="1"/>
        </w:numPr>
      </w:pPr>
      <w:r>
        <w:t>Where the least fractionated allotments are located</w:t>
      </w:r>
    </w:p>
    <w:p w:rsidR="00C67F2D" w:rsidRDefault="00C67F2D"/>
    <w:p w:rsidR="00BD6C38" w:rsidRDefault="00F80654">
      <w:r>
        <w:t xml:space="preserve">The probate of </w:t>
      </w:r>
      <w:r w:rsidR="00123DD6">
        <w:t xml:space="preserve">these fractionated </w:t>
      </w:r>
      <w:r>
        <w:t>trust assets is also a</w:t>
      </w:r>
      <w:r w:rsidR="00123DD6">
        <w:t>n expensive</w:t>
      </w:r>
      <w:r>
        <w:t xml:space="preserve"> function of the Department of the Interior.  It was estimated that </w:t>
      </w:r>
      <w:r w:rsidR="00720D74">
        <w:t xml:space="preserve">in 2008 </w:t>
      </w:r>
      <w:r w:rsidR="0061287F">
        <w:t>an average</w:t>
      </w:r>
      <w:r>
        <w:t xml:space="preserve"> probate cost approximately $7,800</w:t>
      </w:r>
      <w:r w:rsidR="00720D74">
        <w:t>,</w:t>
      </w:r>
      <w:r>
        <w:t xml:space="preserve"> and</w:t>
      </w:r>
      <w:r w:rsidR="00720D74">
        <w:t xml:space="preserve"> </w:t>
      </w:r>
      <w:r>
        <w:t xml:space="preserve">approximately 3,500 Indian owners of trust assets die </w:t>
      </w:r>
      <w:r w:rsidR="00720D74">
        <w:t>each year</w:t>
      </w:r>
      <w:r w:rsidR="007342D4">
        <w:t>.</w:t>
      </w:r>
      <w:r w:rsidR="007342D4">
        <w:rPr>
          <w:rStyle w:val="FootnoteReference"/>
        </w:rPr>
        <w:footnoteReference w:id="9"/>
      </w:r>
    </w:p>
    <w:p w:rsidR="00953973" w:rsidRDefault="00953973"/>
    <w:p w:rsidR="00953973" w:rsidRDefault="00953973">
      <w:r>
        <w:t>Current and accurate figures on the cost of administering</w:t>
      </w:r>
      <w:r w:rsidR="00991758">
        <w:t xml:space="preserve"> and probating</w:t>
      </w:r>
      <w:r>
        <w:t xml:space="preserve"> trust interests can be compared to the cost of providing estate planning services to Indian land ow</w:t>
      </w:r>
      <w:r w:rsidR="00991758">
        <w:t xml:space="preserve">ners.  It will be seen that </w:t>
      </w:r>
      <w:r>
        <w:t>estate planning is an effective way to avoid or reduce fractionation and that it is a cost-effective means of reducing the high and growing costs incurred by continued fractionation.</w:t>
      </w:r>
    </w:p>
    <w:p w:rsidR="00953973" w:rsidRDefault="00953973"/>
    <w:p w:rsidR="00953973" w:rsidRPr="00B7114D" w:rsidRDefault="00B7114D">
      <w:pPr>
        <w:rPr>
          <w:b/>
        </w:rPr>
      </w:pPr>
      <w:r w:rsidRPr="00B7114D">
        <w:rPr>
          <w:b/>
        </w:rPr>
        <w:t>The American Indian Probate Reform Act</w:t>
      </w:r>
    </w:p>
    <w:p w:rsidR="00466FCD" w:rsidRDefault="00466FCD"/>
    <w:p w:rsidR="000B166C" w:rsidRDefault="00123DD6">
      <w:r>
        <w:t xml:space="preserve">To address fractionation, Congress </w:t>
      </w:r>
      <w:r w:rsidR="00453FF8">
        <w:t>amended the Indian Land Consolidation Act with</w:t>
      </w:r>
      <w:r>
        <w:t xml:space="preserve"> </w:t>
      </w:r>
      <w:r w:rsidR="00453FF8">
        <w:t xml:space="preserve">the passage of </w:t>
      </w:r>
      <w:r w:rsidR="00845821">
        <w:t>AIPRA</w:t>
      </w:r>
      <w:r w:rsidR="00453FF8">
        <w:t xml:space="preserve"> in 2004</w:t>
      </w:r>
      <w:r w:rsidR="004B64E3">
        <w:t>.</w:t>
      </w:r>
      <w:r>
        <w:rPr>
          <w:rStyle w:val="FootnoteReference"/>
        </w:rPr>
        <w:footnoteReference w:id="10"/>
      </w:r>
      <w:r w:rsidR="00466FCD">
        <w:t xml:space="preserve">  </w:t>
      </w:r>
      <w:r w:rsidR="0005318E">
        <w:t xml:space="preserve">The Act did not take effect until June 20, 2006. </w:t>
      </w:r>
      <w:r w:rsidR="000B166C">
        <w:t xml:space="preserve"> AIPRA is an innovative piece of legislation which, if fully implemented, would greatly reduce fractionation and the costs and complications associated with it.  It would not be a quick fix.  Fractionation began with the General allotment act and has continued unabated over the past 124 years.</w:t>
      </w:r>
    </w:p>
    <w:p w:rsidR="0005318E" w:rsidRDefault="0005318E"/>
    <w:p w:rsidR="00EB0D53" w:rsidRDefault="0005318E">
      <w:r>
        <w:t xml:space="preserve">The Act encourages Indian land owners to have wills done with a carrot and stick approach.  Without a will, AIPRA will define who inherits trust interests and how.  With a will, an Indian land owner can pretty much designate who will receive those interests the primary limitation being whether a beneficiary will receive those interests in trust or not.  Properly done, wills and estate planning and reduce and avoid fractionation and, in some cases, avoid probate.  Under AIPRA, intestate interests that constitute less than 5% of the total allotment pass to one person – </w:t>
      </w:r>
    </w:p>
    <w:p w:rsidR="00EB0D53" w:rsidRDefault="00EB0D53"/>
    <w:p w:rsidR="0005318E" w:rsidRDefault="0005318E">
      <w:proofErr w:type="gramStart"/>
      <w:r>
        <w:t>the</w:t>
      </w:r>
      <w:proofErr w:type="gramEnd"/>
      <w:r>
        <w:t xml:space="preserve"> oldest eligible heir.</w:t>
      </w:r>
      <w:r w:rsidR="00BE6913">
        <w:t xml:space="preserve"> 25 USC 2206(a</w:t>
      </w:r>
      <w:proofErr w:type="gramStart"/>
      <w:r w:rsidR="00BE6913">
        <w:t>)(</w:t>
      </w:r>
      <w:proofErr w:type="gramEnd"/>
      <w:r w:rsidR="00BE6913">
        <w:t>2)(D)(iii).  When an interest greater than 5% of the total allotment is part of an intestate estate, AIPRA fractionates that interest by giving it equally to surviving children who are eligible heirs and if none, then grandchildren and so on to other family members.  These results can be avoided by the decedent having a will.</w:t>
      </w:r>
      <w:r>
        <w:t xml:space="preserve"> </w:t>
      </w:r>
    </w:p>
    <w:p w:rsidR="000B166C" w:rsidRDefault="000B166C"/>
    <w:p w:rsidR="00466FCD" w:rsidRDefault="00B95433">
      <w:r>
        <w:t>The</w:t>
      </w:r>
      <w:r w:rsidR="000B166C">
        <w:t xml:space="preserve"> drafters of AIPRA recognized that estate planning was a critical part of the solution</w:t>
      </w:r>
      <w:r>
        <w:t xml:space="preserve"> and provided </w:t>
      </w:r>
      <w:r w:rsidR="009D496F">
        <w:t xml:space="preserve">authorization for </w:t>
      </w:r>
      <w:r w:rsidR="004B64E3">
        <w:t>appropriations for estate planning to further reduce or stop fractionation.</w:t>
      </w:r>
      <w:r>
        <w:rPr>
          <w:rStyle w:val="FootnoteReference"/>
        </w:rPr>
        <w:footnoteReference w:id="11"/>
      </w:r>
      <w:r>
        <w:t xml:space="preserve"> </w:t>
      </w:r>
      <w:r w:rsidR="00453FF8">
        <w:t xml:space="preserve">Without </w:t>
      </w:r>
      <w:r w:rsidR="009B0AA8">
        <w:t xml:space="preserve">that funding, </w:t>
      </w:r>
      <w:r w:rsidR="003B6FAD">
        <w:t xml:space="preserve">the </w:t>
      </w:r>
      <w:r w:rsidR="00453FF8">
        <w:t>allotted land base</w:t>
      </w:r>
      <w:r w:rsidR="004B64E3">
        <w:t xml:space="preserve"> </w:t>
      </w:r>
      <w:r w:rsidR="003B6FAD">
        <w:t xml:space="preserve">will continue to fractionate </w:t>
      </w:r>
      <w:r w:rsidR="004B64E3">
        <w:t>over generations</w:t>
      </w:r>
      <w:r w:rsidR="00453FF8">
        <w:t>, creating millions of</w:t>
      </w:r>
      <w:r w:rsidR="0061287F">
        <w:t xml:space="preserve"> new</w:t>
      </w:r>
      <w:r w:rsidR="00453FF8">
        <w:t xml:space="preserve"> interests </w:t>
      </w:r>
      <w:r w:rsidR="00720D74">
        <w:t>that will require substantial</w:t>
      </w:r>
      <w:r w:rsidR="00453FF8">
        <w:t xml:space="preserve"> management and </w:t>
      </w:r>
      <w:r w:rsidR="00720D74">
        <w:t xml:space="preserve">add </w:t>
      </w:r>
      <w:r w:rsidR="000B166C">
        <w:t>equally substantial</w:t>
      </w:r>
      <w:r w:rsidR="00B26113">
        <w:t xml:space="preserve"> </w:t>
      </w:r>
      <w:r w:rsidR="000B166C">
        <w:t>costs to the Bureau of Indian Affairs budget</w:t>
      </w:r>
      <w:r w:rsidR="00453FF8">
        <w:t xml:space="preserve">.  </w:t>
      </w:r>
      <w:r w:rsidR="000B166C">
        <w:t>A comparison of the number of trust interests that existed as of June 20, 2006, the date AIPRA became effective</w:t>
      </w:r>
      <w:r w:rsidR="00991758">
        <w:t>,</w:t>
      </w:r>
      <w:r w:rsidR="000B166C">
        <w:t xml:space="preserve"> and the present, wou</w:t>
      </w:r>
      <w:r w:rsidR="009D496F">
        <w:t>ld likely show that fractionation</w:t>
      </w:r>
      <w:r w:rsidR="000B166C">
        <w:t xml:space="preserve"> continued at a steady pace because estate planning services have not been widely available due to lack of funding support.</w:t>
      </w:r>
    </w:p>
    <w:p w:rsidR="000B166C" w:rsidRDefault="000B166C" w:rsidP="00943E7B">
      <w:pPr>
        <w:rPr>
          <w:b/>
        </w:rPr>
      </w:pPr>
    </w:p>
    <w:p w:rsidR="000B166C" w:rsidRDefault="00B7114D" w:rsidP="00943E7B">
      <w:pPr>
        <w:rPr>
          <w:b/>
        </w:rPr>
      </w:pPr>
      <w:r>
        <w:rPr>
          <w:b/>
        </w:rPr>
        <w:t xml:space="preserve">The </w:t>
      </w:r>
      <w:r w:rsidR="000B166C">
        <w:rPr>
          <w:b/>
        </w:rPr>
        <w:t>Institute</w:t>
      </w:r>
      <w:r>
        <w:rPr>
          <w:b/>
        </w:rPr>
        <w:t xml:space="preserve"> for Indian Estate Planning and Probate</w:t>
      </w:r>
    </w:p>
    <w:p w:rsidR="000B166C" w:rsidRDefault="000B166C" w:rsidP="00943E7B">
      <w:pPr>
        <w:rPr>
          <w:b/>
        </w:rPr>
      </w:pPr>
    </w:p>
    <w:p w:rsidR="00943E7B" w:rsidRDefault="00C8532C" w:rsidP="00943E7B">
      <w:r>
        <w:t>The Institute for Indian Estate Planning and Probate</w:t>
      </w:r>
      <w:r w:rsidR="004B64E3">
        <w:t xml:space="preserve"> </w:t>
      </w:r>
      <w:r w:rsidR="00496A3F">
        <w:t xml:space="preserve">(Institute) </w:t>
      </w:r>
      <w:r w:rsidR="003B6FAD">
        <w:t xml:space="preserve">is part of the Center for Indian Law and Policy </w:t>
      </w:r>
      <w:r w:rsidR="004B64E3">
        <w:t>at Seattle University School of Law</w:t>
      </w:r>
      <w:r>
        <w:t xml:space="preserve"> (</w:t>
      </w:r>
      <w:hyperlink r:id="rId8" w:history="1">
        <w:r w:rsidR="003B6FAD" w:rsidRPr="00D70BE7">
          <w:rPr>
            <w:rStyle w:val="Hyperlink"/>
          </w:rPr>
          <w:t>www.indianwills.org</w:t>
        </w:r>
      </w:hyperlink>
      <w:r>
        <w:t>)</w:t>
      </w:r>
      <w:r w:rsidR="00496A3F">
        <w:t>.  The Institute</w:t>
      </w:r>
      <w:r w:rsidR="003B6FAD">
        <w:t xml:space="preserve"> </w:t>
      </w:r>
      <w:r w:rsidR="00F02A5E">
        <w:t>was established in August, 2005, and</w:t>
      </w:r>
      <w:r w:rsidR="00F90621">
        <w:t>, insofar as we know,</w:t>
      </w:r>
      <w:r w:rsidR="00F02A5E">
        <w:t xml:space="preserve"> </w:t>
      </w:r>
      <w:proofErr w:type="gramStart"/>
      <w:r>
        <w:t>is</w:t>
      </w:r>
      <w:proofErr w:type="gramEnd"/>
      <w:r>
        <w:t xml:space="preserve"> the only </w:t>
      </w:r>
      <w:r w:rsidR="004B64E3">
        <w:t xml:space="preserve">national, non-profit </w:t>
      </w:r>
      <w:r>
        <w:t>organization</w:t>
      </w:r>
      <w:r w:rsidR="009B16EE">
        <w:t xml:space="preserve"> developing projects which</w:t>
      </w:r>
      <w:r>
        <w:t xml:space="preserve"> </w:t>
      </w:r>
      <w:r w:rsidR="009B16EE">
        <w:t>deliver</w:t>
      </w:r>
      <w:r>
        <w:t xml:space="preserve"> estate </w:t>
      </w:r>
      <w:r w:rsidR="00B26113">
        <w:t xml:space="preserve">planning </w:t>
      </w:r>
      <w:r w:rsidR="004B64E3">
        <w:t>legal services to trust land owners and tribes</w:t>
      </w:r>
      <w:r w:rsidR="00194D05">
        <w:t xml:space="preserve"> nationally</w:t>
      </w:r>
      <w:r w:rsidR="004B64E3">
        <w:t xml:space="preserve">.  </w:t>
      </w:r>
      <w:r w:rsidR="00F02A5E">
        <w:t>With</w:t>
      </w:r>
      <w:r w:rsidR="00943E7B">
        <w:t xml:space="preserve"> the mission of assisting Indian people</w:t>
      </w:r>
      <w:r w:rsidR="00F02A5E">
        <w:t>, the Institute develops</w:t>
      </w:r>
      <w:r w:rsidR="00943E7B">
        <w:t xml:space="preserve"> projects that provide free estate planning services to trust land owners; p</w:t>
      </w:r>
      <w:r w:rsidR="00943E7B" w:rsidRPr="00696193">
        <w:t>rovid</w:t>
      </w:r>
      <w:r w:rsidR="00F02A5E">
        <w:t>es</w:t>
      </w:r>
      <w:r w:rsidR="00943E7B" w:rsidRPr="00696193">
        <w:t xml:space="preserve"> training to tribal members, governmental officials and the legal community</w:t>
      </w:r>
      <w:r w:rsidR="00943E7B">
        <w:t xml:space="preserve"> on the provisions of AIPRA, estate planning and the probate process; and serv</w:t>
      </w:r>
      <w:r w:rsidR="00F02A5E">
        <w:t>es</w:t>
      </w:r>
      <w:r w:rsidR="00943E7B">
        <w:t xml:space="preserve"> as a clearing house that provides information via our website and published materials.  The Institute has been uniquely successful in achieving those goals.</w:t>
      </w:r>
    </w:p>
    <w:p w:rsidR="00AC7B0C" w:rsidRDefault="00AC7B0C" w:rsidP="00943E7B"/>
    <w:p w:rsidR="00AC7B0C" w:rsidRDefault="00AC7B0C" w:rsidP="00943E7B">
      <w:r>
        <w:t>In total, our projects have provided community education to over 24,000 In</w:t>
      </w:r>
      <w:r w:rsidR="004605FA">
        <w:t>dian landowners, served over 4,200 clients, executed over 2,100 wills and 1,7</w:t>
      </w:r>
      <w:r>
        <w:t>00 other estate planning documents and successfully reduced fractionation in approximately 87% of the estate plans. While significant, and we are proud of these results, they do not even scratch the surface of the need in Indian Country.</w:t>
      </w:r>
    </w:p>
    <w:p w:rsidR="00F90621" w:rsidRDefault="00F90621" w:rsidP="00943E7B"/>
    <w:p w:rsidR="0065036B" w:rsidRDefault="00F90621" w:rsidP="00F90621">
      <w:r>
        <w:t xml:space="preserve">The Institute has had projects in Washington, Oregon, Idaho, Montana, South Dakota, Minnesota and New Mexico. These projects utilize personnel who are specially trained on AIPRA, Indian land history, and in counseling Indian clients on ways to reduce fractionation of their lands during their life time and with an estate plan.  The free estate planning services include wills, durable powers of attorney, health care directives, assistance with gift deeds, and land sales to tribes.  Our project models vary depending upon need and available funds.  We have developed a number of successful project models using law student interns and paralegals; private and legal services attorneys. We have established pro bono projects, and at Seattle University School of Law, we created the first Indian Trust and Estates clinical course in the nation. </w:t>
      </w:r>
    </w:p>
    <w:p w:rsidR="00CF5F0B" w:rsidRDefault="00CF5F0B" w:rsidP="00F90621"/>
    <w:p w:rsidR="00EB0D53" w:rsidRDefault="00EB0D53" w:rsidP="00CF5F0B"/>
    <w:p w:rsidR="00EB0D53" w:rsidRDefault="00EB0D53" w:rsidP="00CF5F0B"/>
    <w:p w:rsidR="00CF5F0B" w:rsidRDefault="00CF5F0B" w:rsidP="00CF5F0B">
      <w:r>
        <w:t xml:space="preserve">Early in our existence, private foundation funding was received to develop estate planning projects. The economic crisis caused those sources of funding for these projects to disappear.  The only Institute projects now in operation are those funded by tribes.  </w:t>
      </w:r>
      <w:r w:rsidR="009D496F">
        <w:t>Tribes are expending scarce resources for these services</w:t>
      </w:r>
      <w:r w:rsidR="007D490B">
        <w:t xml:space="preserve"> even though tribes are consistent in asserting that these services are part of the federal trust obligation.</w:t>
      </w:r>
    </w:p>
    <w:p w:rsidR="0065036B" w:rsidRDefault="0065036B" w:rsidP="00F90621"/>
    <w:p w:rsidR="0065036B" w:rsidRDefault="0065036B" w:rsidP="00F90621">
      <w:r>
        <w:t>The estate planning services provided to Indian landowners under Institute pro</w:t>
      </w:r>
      <w:r w:rsidR="00AC7B0C">
        <w:t>jects include a will as the cornerstone of an estate plan.  Clients are counseled on the options they have in devising their trust property in a way that will avoid further fractionation.  These include leaving one interest per heir, leaving property to children as joint tenants with the right of survivorship, and lea</w:t>
      </w:r>
      <w:r w:rsidR="00991758">
        <w:t>ving trust</w:t>
      </w:r>
      <w:r w:rsidR="00AC7B0C">
        <w:t xml:space="preserve"> interests to one child and </w:t>
      </w:r>
      <w:r w:rsidR="00991758">
        <w:t xml:space="preserve">non-trust or </w:t>
      </w:r>
      <w:r w:rsidR="00AC7B0C">
        <w:t xml:space="preserve">personal property to another.  They are also counseled on options that avoid the probate process altogether such as giving a gift deed and reserving a life estate for </w:t>
      </w:r>
      <w:proofErr w:type="gramStart"/>
      <w:r w:rsidR="00AC7B0C">
        <w:t>themselves</w:t>
      </w:r>
      <w:proofErr w:type="gramEnd"/>
      <w:r w:rsidR="00AC7B0C">
        <w:t xml:space="preserve"> or selling their interest and having the</w:t>
      </w:r>
      <w:r w:rsidR="00991758">
        <w:t xml:space="preserve"> proceeds in their estate.  Most</w:t>
      </w:r>
      <w:r w:rsidR="00AC7B0C">
        <w:t xml:space="preserve"> Indian landowners are interested to learn of these options and frequently utilize them. </w:t>
      </w:r>
    </w:p>
    <w:p w:rsidR="00EE4174" w:rsidRDefault="00EE4174" w:rsidP="00F90621"/>
    <w:p w:rsidR="00EE4174" w:rsidRDefault="00EE4174" w:rsidP="00F90621">
      <w:r>
        <w:t>Estate planning for Indian land owners is not a simple process.  In many instances, individuals own property that is subject to tribal, federal and state probate laws.  The wills done must be valid in all of those jurisdictions when required.  Institute project personnel are specifically trained in that regard.  In some instances, documents such as health care directives must be done in accordance with state law when there are no on-reservation health care facilities available that can deal with serious and terminal health iss</w:t>
      </w:r>
      <w:r w:rsidR="00991758">
        <w:t>ues.  Finally, the identification</w:t>
      </w:r>
      <w:r>
        <w:t xml:space="preserve"> of in</w:t>
      </w:r>
      <w:r w:rsidR="00B7114D">
        <w:t>dividual trust interests adds an important dimension to estate planning. It often requires coordination with BIA realty and land title record offices.</w:t>
      </w:r>
    </w:p>
    <w:p w:rsidR="004605FA" w:rsidRDefault="004605FA" w:rsidP="00F90621"/>
    <w:p w:rsidR="004605FA" w:rsidRDefault="004605FA" w:rsidP="00F90621">
      <w:r>
        <w:t>In addition to developing projects that deliver estate planning services the Institute provides training and information on AIPRA and Indian estate planning to Indian land owners, tribal officials, attorneys and federal personnel and also reviews and assists tribes with tribal probate code development consistent with AIPRA provisions.</w:t>
      </w:r>
    </w:p>
    <w:p w:rsidR="00F90621" w:rsidRDefault="00F90621" w:rsidP="00F90621"/>
    <w:p w:rsidR="00EE4174" w:rsidRPr="00B7114D" w:rsidRDefault="00B7114D" w:rsidP="00EE4174">
      <w:pPr>
        <w:rPr>
          <w:b/>
        </w:rPr>
      </w:pPr>
      <w:r>
        <w:rPr>
          <w:b/>
        </w:rPr>
        <w:t>Current Institute Projects</w:t>
      </w:r>
    </w:p>
    <w:p w:rsidR="00EE4174" w:rsidRDefault="00EE4174" w:rsidP="00EE4174"/>
    <w:p w:rsidR="00EE4174" w:rsidRDefault="00EE4174" w:rsidP="00EE4174">
      <w:r>
        <w:t>From its beginning, the Institute has operated a summer estate planning intern program.  Originally funded by a foundation grant, this project is now totally funded by the tribes it serves.  Second and third year law students, and sometimes law gr</w:t>
      </w:r>
      <w:r w:rsidR="00E51003">
        <w:t>aduates, receive</w:t>
      </w:r>
      <w:r>
        <w:t xml:space="preserve"> a week of intensive training on Indian land history, AIPRA, Indian will drafting, estate planning options, professional responsibility and the federal probate process</w:t>
      </w:r>
      <w:r w:rsidR="00E51003">
        <w:t xml:space="preserve"> at the School of Law</w:t>
      </w:r>
      <w:r>
        <w:t>.  They then move to the reservation they will b</w:t>
      </w:r>
      <w:r w:rsidR="00991758">
        <w:t>e serving to live and work</w:t>
      </w:r>
      <w:r>
        <w:t xml:space="preserve"> full-time over the summer months.  A full range of estate planning services is provided at no cost to tribal members. Each intern is supervised by an attorney licensed in the state where they are working.  This year eight tribes in Montana, Oregon, Wisconsin and Washington had interns on their reservations.  </w:t>
      </w:r>
      <w:r w:rsidR="004605FA">
        <w:t xml:space="preserve">Preliminary statistics for this summer’s program indicate that 92% of the wills done reduced or avoided further fractionation. </w:t>
      </w:r>
      <w:r>
        <w:t>This program is available to all tribes and it is expected to expand next year.</w:t>
      </w:r>
    </w:p>
    <w:p w:rsidR="00EE4174" w:rsidRDefault="00EE4174" w:rsidP="00EE4174"/>
    <w:p w:rsidR="00EB0D53" w:rsidRDefault="00EB0D53" w:rsidP="00EE4174"/>
    <w:p w:rsidR="00EE4174" w:rsidRDefault="00EE4174" w:rsidP="00EE4174">
      <w:r>
        <w:t xml:space="preserve">The Institute </w:t>
      </w:r>
      <w:r w:rsidR="00E51003">
        <w:t xml:space="preserve">also </w:t>
      </w:r>
      <w:r>
        <w:t xml:space="preserve">provides </w:t>
      </w:r>
      <w:r w:rsidR="00E51003">
        <w:t xml:space="preserve">year around </w:t>
      </w:r>
      <w:r>
        <w:t>estate planning services to one tribe’s housing authority clients who are elderly or disabled.</w:t>
      </w:r>
    </w:p>
    <w:p w:rsidR="00EE4174" w:rsidRDefault="00EE4174" w:rsidP="00EE4174"/>
    <w:p w:rsidR="00EE4174" w:rsidRDefault="00EE4174" w:rsidP="00EE4174">
      <w:r>
        <w:t xml:space="preserve">This fall, the Institute will engage in a very unique estate planning project, providing estate planning services to the members of the Bristol Bay Native Association (BBNA).  BBNA provides a wide range of services to its members who reside in 32 villages spread over an area the size of Iowa.  With one exception, there are no roads leading to them and no roads leading to Dillingham, Alaska, which is where BBNA is headquartered.  BBNA provided base funding for two years and is providing in-kind services as well along with Alaska Legal Services.  Originally designed for a law extern, the services will be provided for the first four months by a recently graduated attorney under a fellowship.  Beyond the logistical challenges this project poses, it provides a very special set of circumstances in that the allotments there are very recent so that there are many first generation owners.  Over a period of time, this provides us with the opportunity to determine if the availability of estate planning services will avoid the problem of fractionation so rampant in the lower 48 states.  </w:t>
      </w:r>
    </w:p>
    <w:p w:rsidR="00EE4174" w:rsidRDefault="00EE4174" w:rsidP="00EE4174"/>
    <w:p w:rsidR="00EE4174" w:rsidRDefault="00B7114D" w:rsidP="00EE4174">
      <w:pPr>
        <w:rPr>
          <w:b/>
        </w:rPr>
      </w:pPr>
      <w:r>
        <w:rPr>
          <w:b/>
        </w:rPr>
        <w:t>A New Project Model to Provide Estate Planning Services to Indian Country</w:t>
      </w:r>
    </w:p>
    <w:p w:rsidR="00B7114D" w:rsidRPr="00B7114D" w:rsidRDefault="00B7114D" w:rsidP="00EE4174">
      <w:pPr>
        <w:rPr>
          <w:b/>
        </w:rPr>
      </w:pPr>
    </w:p>
    <w:p w:rsidR="00F90621" w:rsidRDefault="00EE4174" w:rsidP="00EE4174">
      <w:r>
        <w:t>As no</w:t>
      </w:r>
      <w:r w:rsidR="00E51003">
        <w:t>ted, the services provided through</w:t>
      </w:r>
      <w:r>
        <w:t xml:space="preserve"> Institute projects, while substantial, are far from meeting the needs that exist in Indian Country.  Even the tribes receiving services under the summer intern program have needs that extend beyond the summer months. This led the Institute to consider how to effectively get estate planning services to Indian Country at a reasonable cost.  The result is a model that utilizes teleconferencing technology to allow professional staff at the Institute to interact with Indian land owner clients at any tribal location.  Surprising little is required - a room where confidentiality can be maintained, a computer with teleconference capability and a specially trained tribal staff person to operate the computer and help manage documents.  An individual would need to do no more than enter the room, sit down and begin talking with the Institute staff person whose face appears on the screen.  Information would be gathered, releases provided so that records of trust interests could be obtained, draft documents prepared and then reviewed in a second teleconference with the client after which the documents would be finalized and executed.  The cost would be assessed on a per document basis.  It is expected that this model will be in place on a reservation in the very near term.  It too is available to all tribes.</w:t>
      </w:r>
    </w:p>
    <w:p w:rsidR="00EE4174" w:rsidRDefault="00EE4174" w:rsidP="00943E7B"/>
    <w:p w:rsidR="00EE4174" w:rsidRDefault="00EE4174" w:rsidP="00EE4174">
      <w:r>
        <w:t>Providing estate planning services to Indian land owners nationwide could be very complicated and costly.  This model provides the most effective and cost efficient means of achieving that goal and fulfilling the federal government’s trust obligation to</w:t>
      </w:r>
      <w:r w:rsidR="00E51003">
        <w:t xml:space="preserve"> individual</w:t>
      </w:r>
      <w:r>
        <w:t xml:space="preserve"> Indian land owners.</w:t>
      </w:r>
    </w:p>
    <w:p w:rsidR="00F90621" w:rsidRDefault="00F90621"/>
    <w:p w:rsidR="00B7114D" w:rsidRPr="00B7114D" w:rsidRDefault="00B7114D">
      <w:pPr>
        <w:rPr>
          <w:b/>
        </w:rPr>
      </w:pPr>
      <w:r>
        <w:rPr>
          <w:b/>
        </w:rPr>
        <w:t>Federal Funding of Indian Estate Planning Services</w:t>
      </w:r>
    </w:p>
    <w:p w:rsidR="00B7114D" w:rsidRDefault="00B7114D"/>
    <w:p w:rsidR="00EB0D53" w:rsidRDefault="00BA0365" w:rsidP="00943E7B">
      <w:r>
        <w:t>In 2005,</w:t>
      </w:r>
      <w:r w:rsidR="0061287F">
        <w:rPr>
          <w:b/>
        </w:rPr>
        <w:t xml:space="preserve"> </w:t>
      </w:r>
      <w:r w:rsidR="0061287F">
        <w:t>t</w:t>
      </w:r>
      <w:r w:rsidR="004B64E3">
        <w:t xml:space="preserve">he Institute was the recipient of a one year, </w:t>
      </w:r>
      <w:r w:rsidR="00F90621">
        <w:t xml:space="preserve">$500,000 Bureau of Indian Affairs </w:t>
      </w:r>
      <w:r w:rsidR="004B64E3">
        <w:t>Pilot Project contract</w:t>
      </w:r>
      <w:r w:rsidR="00194D05">
        <w:t xml:space="preserve"> </w:t>
      </w:r>
      <w:r w:rsidR="00F90621">
        <w:t xml:space="preserve">to determine if estate planning services were needed in Indian Country and, if so, whether they would reduce or avoid fractionation.  The project was developed to provide services on reservations in South Dakota and </w:t>
      </w:r>
      <w:r w:rsidR="001726BD">
        <w:t xml:space="preserve">select reservations in </w:t>
      </w:r>
      <w:r w:rsidR="00F90621">
        <w:t>Washington.  T</w:t>
      </w:r>
      <w:r w:rsidR="00367B6F">
        <w:t>he</w:t>
      </w:r>
      <w:r w:rsidR="00194D05">
        <w:t xml:space="preserve"> </w:t>
      </w:r>
      <w:r w:rsidR="00943E7B">
        <w:t xml:space="preserve">results </w:t>
      </w:r>
    </w:p>
    <w:p w:rsidR="00EB0D53" w:rsidRDefault="00EB0D53" w:rsidP="00943E7B"/>
    <w:p w:rsidR="00943E7B" w:rsidRDefault="00F02A5E" w:rsidP="00943E7B">
      <w:proofErr w:type="gramStart"/>
      <w:r>
        <w:t>clearly</w:t>
      </w:r>
      <w:proofErr w:type="gramEnd"/>
      <w:r>
        <w:t xml:space="preserve"> indicate </w:t>
      </w:r>
      <w:r w:rsidR="00194D05">
        <w:t>that estate planning is a highly effective tool in reducing and eliminating fractionation.</w:t>
      </w:r>
      <w:bookmarkStart w:id="1" w:name="OLE_LINK1"/>
      <w:bookmarkStart w:id="2" w:name="OLE_LINK2"/>
      <w:r w:rsidR="00194D05">
        <w:rPr>
          <w:rStyle w:val="FootnoteReference"/>
        </w:rPr>
        <w:footnoteReference w:id="12"/>
      </w:r>
      <w:bookmarkEnd w:id="1"/>
      <w:bookmarkEnd w:id="2"/>
      <w:r w:rsidR="00943E7B" w:rsidRPr="00943E7B">
        <w:t xml:space="preserve"> </w:t>
      </w:r>
      <w:r w:rsidR="00943E7B">
        <w:t xml:space="preserve">In a short </w:t>
      </w:r>
      <w:r w:rsidR="0068508F">
        <w:t xml:space="preserve">nine </w:t>
      </w:r>
      <w:r w:rsidR="00943E7B">
        <w:t>month contract cycle, the pilot project served more than 1,100 clients</w:t>
      </w:r>
      <w:r>
        <w:t>, and at the end of the contract, 5</w:t>
      </w:r>
      <w:r w:rsidR="00943E7B">
        <w:t xml:space="preserve">86 </w:t>
      </w:r>
      <w:r w:rsidR="00F90621">
        <w:t xml:space="preserve">individuals </w:t>
      </w:r>
      <w:r>
        <w:t>remained</w:t>
      </w:r>
      <w:r w:rsidR="00943E7B">
        <w:t xml:space="preserve"> on a waitlis</w:t>
      </w:r>
      <w:r>
        <w:t>t</w:t>
      </w:r>
      <w:r w:rsidR="00943E7B">
        <w:t xml:space="preserve">.  A subsequent audit by the BIA concluded our estate planning project reduced fractionation of Indian lands; prevented the creation of 4,640 new interests; removed 679 interests from the probate process entirely; and </w:t>
      </w:r>
      <w:r w:rsidR="00991758">
        <w:t xml:space="preserve">that </w:t>
      </w:r>
      <w:r w:rsidR="00943E7B">
        <w:t xml:space="preserve">83.5% of the wills </w:t>
      </w:r>
      <w:r w:rsidR="00B26113">
        <w:t>executed</w:t>
      </w:r>
      <w:r w:rsidR="00943E7B">
        <w:t xml:space="preserve"> reduced fractionation.</w:t>
      </w:r>
      <w:r w:rsidR="00943E7B" w:rsidRPr="00943E7B">
        <w:rPr>
          <w:rStyle w:val="FootnoteReference"/>
        </w:rPr>
        <w:t xml:space="preserve"> </w:t>
      </w:r>
      <w:r w:rsidR="00943E7B">
        <w:rPr>
          <w:rStyle w:val="FootnoteReference"/>
        </w:rPr>
        <w:footnoteReference w:id="13"/>
      </w:r>
    </w:p>
    <w:p w:rsidR="001726BD" w:rsidRDefault="001726BD" w:rsidP="00943E7B"/>
    <w:p w:rsidR="001726BD" w:rsidRDefault="001726BD" w:rsidP="00943E7B">
      <w:r>
        <w:t>Despite demonstrating that estate planning services were needed and that they were highly effective in reducing or avoiding further fractionation, requests for an extension of time to serve land owners on waitlists and for additional funding were denied.  Since that time, there has been no further federal funding for the delivery of estate planning services to Indian Country</w:t>
      </w:r>
      <w:r w:rsidR="007D490B">
        <w:t xml:space="preserve"> despite repeated requests</w:t>
      </w:r>
      <w:r>
        <w:t>.</w:t>
      </w:r>
    </w:p>
    <w:p w:rsidR="00B7114D" w:rsidRDefault="00B7114D" w:rsidP="00543624"/>
    <w:p w:rsidR="00543624" w:rsidRDefault="00B7114D" w:rsidP="00543624">
      <w:r>
        <w:t xml:space="preserve">In addition to periodic and repeated communications with the BIA about funding for Indian estate planning, </w:t>
      </w:r>
      <w:r w:rsidR="00543624">
        <w:rPr>
          <w:b/>
        </w:rPr>
        <w:t xml:space="preserve"> </w:t>
      </w:r>
      <w:r w:rsidR="00543624">
        <w:t>I appeared before the U.S. House of Representative’ Committee on Appropriations, Subcommittee on Interior, Environmental and Related Agencies in 2009</w:t>
      </w:r>
      <w:r w:rsidR="00522CC2">
        <w:t xml:space="preserve"> and 2010</w:t>
      </w:r>
      <w:r w:rsidR="00543624">
        <w:t xml:space="preserve"> to request assistance in providing full funding to implement AIPRA</w:t>
      </w:r>
      <w:r w:rsidR="00522CC2">
        <w:t>.  T</w:t>
      </w:r>
      <w:r w:rsidR="00543624">
        <w:t>he Conference Report on H.R. 2996, the Department of the Interior and Related Agencies Appropriation Act for 2010</w:t>
      </w:r>
      <w:r w:rsidR="00522CC2">
        <w:t>,</w:t>
      </w:r>
      <w:r w:rsidR="00543624">
        <w:t xml:space="preserve"> directed the BIA to utilize fun</w:t>
      </w:r>
      <w:r w:rsidR="00522CC2">
        <w:t>ds that were included in the Office of Indian Programs</w:t>
      </w:r>
      <w:r w:rsidR="00543624">
        <w:t xml:space="preserve"> account and </w:t>
      </w:r>
      <w:r w:rsidR="00543624" w:rsidRPr="00C82D0E">
        <w:t>the Indian Land Consolidation account for estate planning assistance as provided for under Section 207(f) of the Indian Land Consolidation Act (25 U.S.C. 2206(f)).</w:t>
      </w:r>
      <w:r w:rsidR="00543624" w:rsidRPr="00C82D0E">
        <w:rPr>
          <w:sz w:val="20"/>
          <w:szCs w:val="20"/>
        </w:rPr>
        <w:t>   </w:t>
      </w:r>
      <w:r w:rsidR="00543624" w:rsidRPr="00C82D0E">
        <w:t>This section of AIPRA authorizes the Secretary to enter into contracts with non-profit entities to provide estate planning and probate services to owners of fractionated interests in allotments</w:t>
      </w:r>
      <w:r w:rsidR="00543624">
        <w:t xml:space="preserve">.  </w:t>
      </w:r>
      <w:r w:rsidR="00522CC2">
        <w:t xml:space="preserve">Over </w:t>
      </w:r>
      <w:r w:rsidR="00543624">
        <w:t>several months, w</w:t>
      </w:r>
      <w:r w:rsidR="00E51003">
        <w:t>e</w:t>
      </w:r>
      <w:r w:rsidR="00543624">
        <w:t xml:space="preserve"> attempted to work with the Department to determine how the available funds would be used to carry out the implementation of AIPRA, but </w:t>
      </w:r>
      <w:r w:rsidR="00522CC2">
        <w:t>had no</w:t>
      </w:r>
      <w:r w:rsidR="00543624">
        <w:t xml:space="preserve"> success. To our knowledge,</w:t>
      </w:r>
      <w:r w:rsidR="00522CC2">
        <w:t xml:space="preserve"> the BIA did not initiate</w:t>
      </w:r>
      <w:r w:rsidR="00543624">
        <w:t xml:space="preserve"> any effort to enter into contracts with non-profit entities to provide estate planning and probate services in 2010.</w:t>
      </w:r>
    </w:p>
    <w:p w:rsidR="00543624" w:rsidRDefault="00543624" w:rsidP="00543624"/>
    <w:p w:rsidR="00543624" w:rsidRDefault="00543624" w:rsidP="00543624">
      <w:r>
        <w:t>We note</w:t>
      </w:r>
      <w:r w:rsidR="00522CC2">
        <w:t>d</w:t>
      </w:r>
      <w:r>
        <w:t xml:space="preserve"> that the Department’s budget request for 2011 reports that the [BIA] “is actively engaged in implementing” AIPRA, including the provision of probate services.</w:t>
      </w:r>
      <w:r>
        <w:rPr>
          <w:rStyle w:val="FootnoteReference"/>
        </w:rPr>
        <w:footnoteReference w:id="14"/>
      </w:r>
      <w:r>
        <w:t xml:space="preserve">  The request for 2011</w:t>
      </w:r>
      <w:r w:rsidR="00522CC2">
        <w:t xml:space="preserve"> was</w:t>
      </w:r>
      <w:r>
        <w:t xml:space="preserve"> for more than $13 million and includes 159 FTE. Virtually all of the funds and FTE appear to be directed at coordination with the Office of Hearings and Appeals in probate proceedings.  In addition, the 2011 budget request includes $1 million for 5 new FTE to implement AIPRA and the Indian Land Con</w:t>
      </w:r>
      <w:r w:rsidR="00522CC2">
        <w:t>solidation Act. The BIA proposed</w:t>
      </w:r>
      <w:r>
        <w:t xml:space="preserve"> to use these funds and FTE to provide: </w:t>
      </w:r>
    </w:p>
    <w:p w:rsidR="00543624" w:rsidRDefault="00543624" w:rsidP="00543624"/>
    <w:p w:rsidR="00EB0D53" w:rsidRDefault="00543624" w:rsidP="00543624">
      <w:pPr>
        <w:ind w:left="720" w:right="720"/>
      </w:pPr>
      <w:r>
        <w:t>“</w:t>
      </w:r>
      <w:proofErr w:type="gramStart"/>
      <w:r>
        <w:t>educational</w:t>
      </w:r>
      <w:proofErr w:type="gramEnd"/>
      <w:r>
        <w:t xml:space="preserve"> information regarding the authorized provisions within AIPRA, information on lifetime transfers such as consolidation agreements through gifts, exchanges and family trusts, through probates and forced sales.  It will also include information to tribes on monetization and in writing probate codes. This </w:t>
      </w:r>
    </w:p>
    <w:p w:rsidR="00EB0D53" w:rsidRDefault="00EB0D53" w:rsidP="00543624">
      <w:pPr>
        <w:ind w:left="720" w:right="720"/>
      </w:pPr>
    </w:p>
    <w:p w:rsidR="00543624" w:rsidRDefault="00543624" w:rsidP="00543624">
      <w:pPr>
        <w:ind w:left="720" w:right="720"/>
      </w:pPr>
      <w:proofErr w:type="gramStart"/>
      <w:r>
        <w:t>will</w:t>
      </w:r>
      <w:proofErr w:type="gramEnd"/>
      <w:r>
        <w:t xml:space="preserve"> be accomplished by creation and dissemination of brochures (in English and native languages), partnering with tribal colleges and tribal organizations, conducting community meetings and via public news sources such as local newspapers, radio and the internet.”</w:t>
      </w:r>
      <w:r>
        <w:rPr>
          <w:rStyle w:val="FootnoteReference"/>
        </w:rPr>
        <w:footnoteReference w:id="15"/>
      </w:r>
      <w:r>
        <w:t xml:space="preserve">  </w:t>
      </w:r>
    </w:p>
    <w:p w:rsidR="00543624" w:rsidRDefault="00543624" w:rsidP="00543624">
      <w:pPr>
        <w:ind w:left="720" w:right="720"/>
      </w:pPr>
    </w:p>
    <w:p w:rsidR="00543624" w:rsidRDefault="00522CC2" w:rsidP="00543624">
      <w:pPr>
        <w:ind w:right="720"/>
      </w:pPr>
      <w:r>
        <w:t>The BIA also planned</w:t>
      </w:r>
      <w:r w:rsidR="00543624">
        <w:t xml:space="preserve"> to use the funds and FTE</w:t>
      </w:r>
      <w:r>
        <w:t>s</w:t>
      </w:r>
      <w:r w:rsidR="00543624">
        <w:t xml:space="preserve"> to: </w:t>
      </w:r>
    </w:p>
    <w:p w:rsidR="00543624" w:rsidRDefault="00543624" w:rsidP="00543624">
      <w:pPr>
        <w:ind w:left="720" w:right="720"/>
      </w:pPr>
    </w:p>
    <w:p w:rsidR="00543624" w:rsidRPr="00C82D0E" w:rsidRDefault="00543624" w:rsidP="00543624">
      <w:pPr>
        <w:ind w:left="720" w:right="720"/>
      </w:pPr>
      <w:r>
        <w:t>“</w:t>
      </w:r>
      <w:proofErr w:type="gramStart"/>
      <w:r>
        <w:t>pursue</w:t>
      </w:r>
      <w:proofErr w:type="gramEnd"/>
      <w:r>
        <w:t xml:space="preserve"> partnerships with Indian organizations, various Indian land clinics, private attorneys, and legal aid groups to </w:t>
      </w:r>
      <w:r w:rsidRPr="0066659A">
        <w:rPr>
          <w:u w:val="single"/>
        </w:rPr>
        <w:t>further research cost effective actions</w:t>
      </w:r>
      <w:r>
        <w:t xml:space="preserve"> </w:t>
      </w:r>
      <w:r w:rsidRPr="0066659A">
        <w:rPr>
          <w:u w:val="single"/>
        </w:rPr>
        <w:t>regarding estate planning</w:t>
      </w:r>
      <w:r>
        <w:t>. The initial push is to help more landowners complete estate planning and will drafting.”</w:t>
      </w:r>
      <w:r>
        <w:rPr>
          <w:rStyle w:val="FootnoteReference"/>
        </w:rPr>
        <w:footnoteReference w:id="16"/>
      </w:r>
    </w:p>
    <w:p w:rsidR="00543624" w:rsidRDefault="00543624" w:rsidP="00543624"/>
    <w:p w:rsidR="00543624" w:rsidRDefault="009C651D" w:rsidP="00543624">
      <w:r>
        <w:t xml:space="preserve">That initial push did not materialize. </w:t>
      </w:r>
      <w:r w:rsidR="00543624">
        <w:t>The Department’s p</w:t>
      </w:r>
      <w:r>
        <w:t xml:space="preserve">roposed budget plans </w:t>
      </w:r>
      <w:r w:rsidR="00543624">
        <w:t>will not meet the needs of Indian Country nor will it reduce fractionation or probates and, conseq</w:t>
      </w:r>
      <w:r>
        <w:t xml:space="preserve">uently, will not reduce administrative </w:t>
      </w:r>
      <w:r w:rsidR="00543624">
        <w:t xml:space="preserve">costs.  The 2011 BIA budget request does not provide any detail on what level of funding may be directed toward estate planning and will drafting.  </w:t>
      </w:r>
      <w:r w:rsidR="00522CC2">
        <w:t xml:space="preserve">Insofar as we know, there were no funds directed toward those activities. </w:t>
      </w:r>
      <w:r w:rsidR="00543624">
        <w:t>With all due respect, we do not believe that there is a need for research regarding estate planning and will drafting.  It has been seven years since AIPRA’s enactment and there is an acute and urgent need for action to fully implement its provisions. Through our various projects, we already know the most cost effective means of providing estate planning services to Indian clients.  We know that face-to-face consultations are necessary with clients for effec</w:t>
      </w:r>
      <w:r w:rsidR="00522CC2">
        <w:t>tive estate planning</w:t>
      </w:r>
      <w:r w:rsidR="00543624">
        <w:t>.  We know that with informed counsel, clients will often choose plans that avoid fractionation and even probate.  We know that Indian people often need wills that are valid under tribal and state as well as federal law, and we provide that service.  We agree that education is important. That is why our programs have reached over 24,000 Indian land owners in the last five years and our website is designed to provide information specifically to Indian land owners, tribal leaders and attorneys.</w:t>
      </w:r>
    </w:p>
    <w:p w:rsidR="00522CC2" w:rsidRDefault="00522CC2" w:rsidP="00543624"/>
    <w:p w:rsidR="00522CC2" w:rsidRDefault="00522CC2" w:rsidP="00543624">
      <w:r>
        <w:t>Thus, even when directed by the House Subcommittee, the Bureau of Indian Affairs has not moved one step closer to providing estate planning services to Indian land owners.</w:t>
      </w:r>
    </w:p>
    <w:p w:rsidR="00543624" w:rsidRDefault="00543624" w:rsidP="00943E7B"/>
    <w:p w:rsidR="00BA0365" w:rsidRDefault="00B7114D" w:rsidP="00FA2299">
      <w:pPr>
        <w:rPr>
          <w:b/>
        </w:rPr>
      </w:pPr>
      <w:r>
        <w:rPr>
          <w:b/>
        </w:rPr>
        <w:t>Conclusion</w:t>
      </w:r>
    </w:p>
    <w:p w:rsidR="00B7114D" w:rsidRDefault="00B7114D" w:rsidP="00FA2299">
      <w:pPr>
        <w:rPr>
          <w:b/>
        </w:rPr>
      </w:pPr>
    </w:p>
    <w:p w:rsidR="00FA2299" w:rsidRDefault="00B5456E" w:rsidP="00FA2299">
      <w:r>
        <w:t xml:space="preserve"> </w:t>
      </w:r>
      <w:r w:rsidR="00FA2299">
        <w:t xml:space="preserve">For each interest that estate planning reconsolidates or removes from the probate process entirely through gift deed or tribal sale, the government will save money.  Costs </w:t>
      </w:r>
      <w:r w:rsidR="006D5005">
        <w:t xml:space="preserve">will continue to </w:t>
      </w:r>
      <w:r w:rsidR="00FA2299">
        <w:t>increase with the exponential growth of fractionation</w:t>
      </w:r>
      <w:r w:rsidR="00BA0365">
        <w:t>.</w:t>
      </w:r>
      <w:r w:rsidR="00047435">
        <w:t xml:space="preserve">  The Department has had six years to implement AIPRA, but has made little progress in reducing fractionation and has failed to seek the necessary funds to implement the estate planning services which have proven to be so effective in reducing fractionation.  We think that it is imperative that the Committee insist that the Department fully implement AIPRA, including efforts to ensure that funding is available to tribes to assist their citizens who own interests in allotments to obtain the necessary estate planning services in order to reduce fractionation.  Six years ago the Committee and Congress </w:t>
      </w:r>
      <w:r w:rsidR="00047435">
        <w:lastRenderedPageBreak/>
        <w:t>identified the problem and developed an effective solution.  It is time for the Department and the Congress to take the next step and provide the necessary resources.  The status quo will simply mean more fractionation and greate</w:t>
      </w:r>
      <w:r w:rsidR="004605FA">
        <w:t>r federal expenditures year after</w:t>
      </w:r>
      <w:r w:rsidR="00047435">
        <w:t xml:space="preserve"> year for the in</w:t>
      </w:r>
      <w:r w:rsidR="009C651D">
        <w:t xml:space="preserve">definite future.  </w:t>
      </w:r>
    </w:p>
    <w:p w:rsidR="00B5456E" w:rsidRPr="004A17E8" w:rsidRDefault="00B5456E" w:rsidP="00B5456E"/>
    <w:p w:rsidR="00B5456E" w:rsidRPr="00F74AE8" w:rsidRDefault="00B5456E" w:rsidP="00F74AE8">
      <w:pPr>
        <w:rPr>
          <w:b/>
        </w:rPr>
      </w:pPr>
    </w:p>
    <w:p w:rsidR="00B5456E" w:rsidRDefault="00B5456E" w:rsidP="00B7114D">
      <w:pPr>
        <w:rPr>
          <w:b/>
        </w:rPr>
      </w:pPr>
      <w:r w:rsidRPr="00F74AE8">
        <w:rPr>
          <w:b/>
        </w:rPr>
        <w:t>Douglas Nash, Director</w:t>
      </w:r>
    </w:p>
    <w:p w:rsidR="003B6FAD" w:rsidRPr="00F74AE8" w:rsidRDefault="003B6FAD" w:rsidP="00B7114D">
      <w:pPr>
        <w:rPr>
          <w:b/>
        </w:rPr>
      </w:pPr>
      <w:r>
        <w:rPr>
          <w:b/>
        </w:rPr>
        <w:t>Center for Indian Law and Policy</w:t>
      </w:r>
    </w:p>
    <w:p w:rsidR="00B5456E" w:rsidRDefault="00B5456E" w:rsidP="00B7114D">
      <w:pPr>
        <w:rPr>
          <w:b/>
        </w:rPr>
      </w:pPr>
      <w:r w:rsidRPr="00F74AE8">
        <w:rPr>
          <w:b/>
        </w:rPr>
        <w:t>Institute for Indian Estate Planning &amp; Probate</w:t>
      </w:r>
    </w:p>
    <w:p w:rsidR="00F74AE8" w:rsidRDefault="00F74AE8" w:rsidP="00B7114D">
      <w:pPr>
        <w:rPr>
          <w:b/>
        </w:rPr>
      </w:pPr>
      <w:r>
        <w:rPr>
          <w:b/>
        </w:rPr>
        <w:t>Seattle University School of Law</w:t>
      </w:r>
    </w:p>
    <w:p w:rsidR="00F74AE8" w:rsidRPr="00F74AE8" w:rsidRDefault="00F74AE8" w:rsidP="00B7114D">
      <w:pPr>
        <w:rPr>
          <w:b/>
        </w:rPr>
      </w:pPr>
      <w:r>
        <w:rPr>
          <w:b/>
        </w:rPr>
        <w:t>901 12</w:t>
      </w:r>
      <w:r w:rsidRPr="00F74AE8">
        <w:rPr>
          <w:b/>
          <w:vertAlign w:val="superscript"/>
        </w:rPr>
        <w:t>th</w:t>
      </w:r>
      <w:r>
        <w:rPr>
          <w:b/>
        </w:rPr>
        <w:t xml:space="preserve"> Avenue, Seattle, WA 98122</w:t>
      </w:r>
    </w:p>
    <w:p w:rsidR="00B5456E" w:rsidRPr="00F74AE8" w:rsidRDefault="00B7114D" w:rsidP="00B7114D">
      <w:pPr>
        <w:rPr>
          <w:b/>
        </w:rPr>
      </w:pPr>
      <w:r>
        <w:rPr>
          <w:b/>
        </w:rPr>
        <w:t>Phone: (206) 786-1614</w:t>
      </w:r>
    </w:p>
    <w:p w:rsidR="00B5456E" w:rsidRPr="00F74AE8" w:rsidRDefault="00B5456E" w:rsidP="00B7114D">
      <w:pPr>
        <w:rPr>
          <w:b/>
        </w:rPr>
      </w:pPr>
      <w:r w:rsidRPr="00F74AE8">
        <w:rPr>
          <w:b/>
        </w:rPr>
        <w:t>Email: dnash@seattleu.edu</w:t>
      </w:r>
    </w:p>
    <w:p w:rsidR="00B5456E" w:rsidRDefault="00B5456E"/>
    <w:sectPr w:rsidR="00B5456E" w:rsidSect="00123DD6">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17" w:rsidRDefault="00C93517">
      <w:r>
        <w:separator/>
      </w:r>
    </w:p>
  </w:endnote>
  <w:endnote w:type="continuationSeparator" w:id="0">
    <w:p w:rsidR="00C93517" w:rsidRDefault="00C93517">
      <w:r>
        <w:continuationSeparator/>
      </w:r>
    </w:p>
  </w:endnote>
  <w:endnote w:type="continuationNotice" w:id="1">
    <w:p w:rsidR="00C93517" w:rsidRDefault="00C935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EE" w:rsidRDefault="008C5C40" w:rsidP="000027B5">
    <w:pPr>
      <w:pStyle w:val="Footer"/>
      <w:framePr w:wrap="around" w:vAnchor="text" w:hAnchor="margin" w:xAlign="center" w:y="1"/>
      <w:rPr>
        <w:rStyle w:val="PageNumber"/>
      </w:rPr>
    </w:pPr>
    <w:r>
      <w:rPr>
        <w:rStyle w:val="PageNumber"/>
      </w:rPr>
      <w:fldChar w:fldCharType="begin"/>
    </w:r>
    <w:r w:rsidR="009B16EE">
      <w:rPr>
        <w:rStyle w:val="PageNumber"/>
      </w:rPr>
      <w:instrText xml:space="preserve">PAGE  </w:instrText>
    </w:r>
    <w:r>
      <w:rPr>
        <w:rStyle w:val="PageNumber"/>
      </w:rPr>
      <w:fldChar w:fldCharType="end"/>
    </w:r>
  </w:p>
  <w:p w:rsidR="009B16EE" w:rsidRDefault="009B16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EE" w:rsidRDefault="008C5C40" w:rsidP="000027B5">
    <w:pPr>
      <w:pStyle w:val="Footer"/>
      <w:framePr w:wrap="around" w:vAnchor="text" w:hAnchor="margin" w:xAlign="center" w:y="1"/>
      <w:rPr>
        <w:rStyle w:val="PageNumber"/>
      </w:rPr>
    </w:pPr>
    <w:r>
      <w:rPr>
        <w:rStyle w:val="PageNumber"/>
      </w:rPr>
      <w:fldChar w:fldCharType="begin"/>
    </w:r>
    <w:r w:rsidR="009B16EE">
      <w:rPr>
        <w:rStyle w:val="PageNumber"/>
      </w:rPr>
      <w:instrText xml:space="preserve">PAGE  </w:instrText>
    </w:r>
    <w:r>
      <w:rPr>
        <w:rStyle w:val="PageNumber"/>
      </w:rPr>
      <w:fldChar w:fldCharType="separate"/>
    </w:r>
    <w:r w:rsidR="00EB0D53">
      <w:rPr>
        <w:rStyle w:val="PageNumber"/>
        <w:noProof/>
      </w:rPr>
      <w:t>7</w:t>
    </w:r>
    <w:r>
      <w:rPr>
        <w:rStyle w:val="PageNumber"/>
      </w:rPr>
      <w:fldChar w:fldCharType="end"/>
    </w:r>
  </w:p>
  <w:p w:rsidR="009B16EE" w:rsidRDefault="009B1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17" w:rsidRDefault="00C93517">
      <w:r>
        <w:separator/>
      </w:r>
    </w:p>
  </w:footnote>
  <w:footnote w:type="continuationSeparator" w:id="0">
    <w:p w:rsidR="00C93517" w:rsidRDefault="00C93517">
      <w:r>
        <w:continuationSeparator/>
      </w:r>
    </w:p>
  </w:footnote>
  <w:footnote w:type="continuationNotice" w:id="1">
    <w:p w:rsidR="00C93517" w:rsidRDefault="00C93517"/>
  </w:footnote>
  <w:footnote w:id="2">
    <w:p w:rsidR="009B16EE" w:rsidRPr="00BC2C37" w:rsidRDefault="009B16EE">
      <w:pPr>
        <w:pStyle w:val="FootnoteText"/>
      </w:pPr>
      <w:r w:rsidRPr="00BC2C37">
        <w:rPr>
          <w:rStyle w:val="FootnoteReference"/>
        </w:rPr>
        <w:footnoteRef/>
      </w:r>
      <w:r w:rsidRPr="00BC2C37">
        <w:t xml:space="preserve"> Majel Russell, </w:t>
      </w:r>
      <w:r w:rsidRPr="00BC2C37">
        <w:rPr>
          <w:i/>
        </w:rPr>
        <w:t>Historical Background to Fractionated Ownership of Indian Trust Lands</w:t>
      </w:r>
      <w:r w:rsidRPr="00BC2C37">
        <w:t>, Intertribal Monitoring Association Presentation PowerPoint, Northwest Regional Meeting, November 21, 2008</w:t>
      </w:r>
    </w:p>
  </w:footnote>
  <w:footnote w:id="3">
    <w:p w:rsidR="009B16EE" w:rsidRPr="00BC2C37" w:rsidRDefault="009B16EE">
      <w:pPr>
        <w:pStyle w:val="FootnoteText"/>
      </w:pPr>
      <w:r w:rsidRPr="00BC2C37">
        <w:rPr>
          <w:rStyle w:val="FootnoteReference"/>
        </w:rPr>
        <w:footnoteRef/>
      </w:r>
      <w:r w:rsidRPr="00BC2C37">
        <w:t xml:space="preserve"> 25 U.S.C. § 2206(f)</w:t>
      </w:r>
    </w:p>
  </w:footnote>
  <w:footnote w:id="4">
    <w:p w:rsidR="009B16EE" w:rsidRPr="00BC2C37" w:rsidRDefault="009B16EE">
      <w:pPr>
        <w:pStyle w:val="FootnoteText"/>
      </w:pPr>
      <w:r w:rsidRPr="00BC2C37">
        <w:rPr>
          <w:rStyle w:val="FootnoteReference"/>
        </w:rPr>
        <w:footnoteRef/>
      </w:r>
      <w:r w:rsidRPr="00BC2C37">
        <w:t xml:space="preserve"> Department of the Interior, Office of the Special Trustee for American Indians, Budget Justification FY 2005</w:t>
      </w:r>
    </w:p>
  </w:footnote>
  <w:footnote w:id="5">
    <w:p w:rsidR="009B16EE" w:rsidRPr="00BC2C37" w:rsidRDefault="009B16EE">
      <w:pPr>
        <w:pStyle w:val="FootnoteText"/>
      </w:pPr>
      <w:r w:rsidRPr="00BC2C37">
        <w:rPr>
          <w:rStyle w:val="FootnoteReference"/>
        </w:rPr>
        <w:footnoteRef/>
      </w:r>
      <w:r>
        <w:t xml:space="preserve"> Testimony of David J. Hayes, Deputy Secretary of the Interior, before the Committee on Natural Resources, United States House of Representatives Hearing on the Proposed Settlement of </w:t>
      </w:r>
      <w:proofErr w:type="spellStart"/>
      <w:r>
        <w:t>Cobell</w:t>
      </w:r>
      <w:proofErr w:type="spellEnd"/>
      <w:r>
        <w:t xml:space="preserve"> v. Salazar, March 10, 2010.</w:t>
      </w:r>
    </w:p>
  </w:footnote>
  <w:footnote w:id="6">
    <w:p w:rsidR="009B16EE" w:rsidRPr="00BC2C37" w:rsidRDefault="009B16EE">
      <w:pPr>
        <w:pStyle w:val="FootnoteText"/>
      </w:pPr>
      <w:r w:rsidRPr="00BC2C37">
        <w:rPr>
          <w:rStyle w:val="FootnoteReference"/>
        </w:rPr>
        <w:footnoteRef/>
      </w:r>
      <w:r w:rsidRPr="00BC2C37">
        <w:t xml:space="preserve"> Testimony of Ross O. Swimmer, Special Trustee for American Indians, United States Department of the Interior, before the Committee on Resources, United States House of Representatives Hearing on S. 1721, The American Indian Probate Reform Act of 2004.  June 23, 2004</w:t>
      </w:r>
    </w:p>
  </w:footnote>
  <w:footnote w:id="7">
    <w:p w:rsidR="009B16EE" w:rsidRPr="00BC2C37" w:rsidRDefault="009B16EE">
      <w:pPr>
        <w:pStyle w:val="FootnoteText"/>
      </w:pPr>
      <w:r w:rsidRPr="00BC2C37">
        <w:rPr>
          <w:rStyle w:val="FootnoteReference"/>
        </w:rPr>
        <w:footnoteRef/>
      </w:r>
      <w:r w:rsidRPr="00BC2C37">
        <w:t xml:space="preserve"> </w:t>
      </w:r>
      <w:r w:rsidRPr="00BC2C37">
        <w:rPr>
          <w:i/>
        </w:rPr>
        <w:t>Id</w:t>
      </w:r>
      <w:r w:rsidRPr="00BC2C37">
        <w:t>.</w:t>
      </w:r>
      <w:r w:rsidRPr="00123DD6">
        <w:t xml:space="preserve"> </w:t>
      </w:r>
      <w:r>
        <w:t xml:space="preserve">Swimmer citing </w:t>
      </w:r>
      <w:proofErr w:type="spellStart"/>
      <w:r w:rsidRPr="00BC2C37">
        <w:rPr>
          <w:i/>
        </w:rPr>
        <w:t>Hodel</w:t>
      </w:r>
      <w:proofErr w:type="spellEnd"/>
      <w:r w:rsidRPr="00BC2C37">
        <w:rPr>
          <w:i/>
        </w:rPr>
        <w:t xml:space="preserve"> v. Irving</w:t>
      </w:r>
      <w:r w:rsidRPr="00BC2C37">
        <w:t>, 481 U.S. 704 (1987)</w:t>
      </w:r>
    </w:p>
  </w:footnote>
  <w:footnote w:id="8">
    <w:p w:rsidR="009B16EE" w:rsidRPr="00BC2C37" w:rsidRDefault="009B16EE">
      <w:pPr>
        <w:pStyle w:val="FootnoteText"/>
      </w:pPr>
      <w:r w:rsidRPr="00BC2C37">
        <w:rPr>
          <w:rStyle w:val="FootnoteReference"/>
        </w:rPr>
        <w:footnoteRef/>
      </w:r>
      <w:r w:rsidRPr="00BC2C37">
        <w:t xml:space="preserve"> </w:t>
      </w:r>
      <w:r w:rsidRPr="00BC2C37">
        <w:rPr>
          <w:i/>
        </w:rPr>
        <w:t>Id</w:t>
      </w:r>
      <w:r w:rsidRPr="00BC2C37">
        <w:t xml:space="preserve">. </w:t>
      </w:r>
    </w:p>
  </w:footnote>
  <w:footnote w:id="9">
    <w:p w:rsidR="009B16EE" w:rsidRDefault="009B16EE">
      <w:pPr>
        <w:pStyle w:val="FootnoteText"/>
      </w:pPr>
      <w:r w:rsidRPr="00BC2C37">
        <w:rPr>
          <w:rStyle w:val="FootnoteReference"/>
        </w:rPr>
        <w:footnoteRef/>
      </w:r>
      <w:r w:rsidRPr="00BC2C37">
        <w:t xml:space="preserve"> </w:t>
      </w:r>
      <w:r w:rsidRPr="00BC2C37">
        <w:rPr>
          <w:i/>
        </w:rPr>
        <w:t>Id</w:t>
      </w:r>
      <w:r w:rsidRPr="00BC2C37">
        <w:t xml:space="preserve">. </w:t>
      </w:r>
    </w:p>
  </w:footnote>
  <w:footnote w:id="10">
    <w:p w:rsidR="009B16EE" w:rsidRDefault="009B16EE">
      <w:pPr>
        <w:pStyle w:val="FootnoteText"/>
      </w:pPr>
      <w:r>
        <w:rPr>
          <w:rStyle w:val="FootnoteReference"/>
        </w:rPr>
        <w:footnoteRef/>
      </w:r>
      <w:r>
        <w:t xml:space="preserve"> 25 U.S.C.§§ 2201 - 2201</w:t>
      </w:r>
    </w:p>
  </w:footnote>
  <w:footnote w:id="11">
    <w:p w:rsidR="009B16EE" w:rsidRDefault="009B16EE" w:rsidP="00B95433">
      <w:pPr>
        <w:pStyle w:val="FootnoteText"/>
      </w:pPr>
      <w:r>
        <w:rPr>
          <w:rStyle w:val="FootnoteReference"/>
        </w:rPr>
        <w:footnoteRef/>
      </w:r>
      <w:r>
        <w:t xml:space="preserve"> 25 U.S.C.§ 2206(f)(4)</w:t>
      </w:r>
    </w:p>
  </w:footnote>
  <w:footnote w:id="12">
    <w:p w:rsidR="009B16EE" w:rsidRDefault="009B16EE" w:rsidP="00194D05">
      <w:pPr>
        <w:pStyle w:val="FootnoteText"/>
      </w:pPr>
      <w:r>
        <w:rPr>
          <w:rStyle w:val="FootnoteReference"/>
        </w:rPr>
        <w:footnoteRef/>
      </w:r>
      <w:r>
        <w:t xml:space="preserve"> Supplemental Audit Report under Task Order SEA-0004443 under AIPRA FY 2006 AIPRA Implementation Project, Phase II, Estate Planning Services Auditor, September 15, 2007 </w:t>
      </w:r>
    </w:p>
  </w:footnote>
  <w:footnote w:id="13">
    <w:p w:rsidR="009B16EE" w:rsidRDefault="009B16EE" w:rsidP="00943E7B">
      <w:pPr>
        <w:pStyle w:val="FootnoteText"/>
      </w:pPr>
      <w:r>
        <w:rPr>
          <w:rStyle w:val="FootnoteReference"/>
        </w:rPr>
        <w:footnoteRef/>
      </w:r>
      <w:r>
        <w:t xml:space="preserve"> </w:t>
      </w:r>
      <w:r w:rsidRPr="00943E7B">
        <w:rPr>
          <w:i/>
        </w:rPr>
        <w:t>Id</w:t>
      </w:r>
      <w:r>
        <w:t xml:space="preserve">. </w:t>
      </w:r>
    </w:p>
  </w:footnote>
  <w:footnote w:id="14">
    <w:p w:rsidR="00543624" w:rsidRDefault="00543624" w:rsidP="00543624">
      <w:pPr>
        <w:pStyle w:val="FootnoteText"/>
      </w:pPr>
      <w:r>
        <w:rPr>
          <w:rStyle w:val="FootnoteReference"/>
        </w:rPr>
        <w:footnoteRef/>
      </w:r>
      <w:r>
        <w:t xml:space="preserve">  </w:t>
      </w:r>
      <w:proofErr w:type="gramStart"/>
      <w:r>
        <w:t>Budget Request for the Bureau of Indian Affairs for 2011 at IA-RES-7.</w:t>
      </w:r>
      <w:proofErr w:type="gramEnd"/>
    </w:p>
  </w:footnote>
  <w:footnote w:id="15">
    <w:p w:rsidR="00543624" w:rsidRDefault="00543624" w:rsidP="00543624">
      <w:pPr>
        <w:pStyle w:val="FootnoteText"/>
      </w:pPr>
      <w:r>
        <w:rPr>
          <w:rStyle w:val="FootnoteReference"/>
        </w:rPr>
        <w:footnoteRef/>
      </w:r>
      <w:r>
        <w:t xml:space="preserve"> </w:t>
      </w:r>
      <w:proofErr w:type="gramStart"/>
      <w:r>
        <w:t>Id. at IA-ILC-3 and 4.</w:t>
      </w:r>
      <w:proofErr w:type="gramEnd"/>
    </w:p>
  </w:footnote>
  <w:footnote w:id="16">
    <w:p w:rsidR="00543624" w:rsidRDefault="00543624" w:rsidP="00543624">
      <w:pPr>
        <w:pStyle w:val="FootnoteText"/>
      </w:pPr>
      <w:r>
        <w:rPr>
          <w:rStyle w:val="FootnoteReference"/>
        </w:rPr>
        <w:footnoteRef/>
      </w:r>
      <w:r>
        <w:t xml:space="preserve"> </w:t>
      </w:r>
      <w:proofErr w:type="gramStart"/>
      <w:r>
        <w:t>Id. at 4.</w:t>
      </w:r>
      <w:proofErr w:type="gramEnd"/>
      <w:r>
        <w:t xml:space="preserve"> (Emphasis Added)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9F" w:rsidRDefault="006737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A517B"/>
    <w:multiLevelType w:val="hybridMultilevel"/>
    <w:tmpl w:val="7820E8AE"/>
    <w:lvl w:ilvl="0" w:tplc="EC7CDC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3CE8"/>
    <w:rsid w:val="000027B5"/>
    <w:rsid w:val="00003C2F"/>
    <w:rsid w:val="000064F3"/>
    <w:rsid w:val="0002347B"/>
    <w:rsid w:val="000237C0"/>
    <w:rsid w:val="00047435"/>
    <w:rsid w:val="00051DBD"/>
    <w:rsid w:val="00052885"/>
    <w:rsid w:val="0005318E"/>
    <w:rsid w:val="000650B6"/>
    <w:rsid w:val="000A07D9"/>
    <w:rsid w:val="000B166C"/>
    <w:rsid w:val="000C4590"/>
    <w:rsid w:val="00123DD6"/>
    <w:rsid w:val="00126BFB"/>
    <w:rsid w:val="00141211"/>
    <w:rsid w:val="001726BD"/>
    <w:rsid w:val="00194D05"/>
    <w:rsid w:val="001A0600"/>
    <w:rsid w:val="001B1BC5"/>
    <w:rsid w:val="001B1DD5"/>
    <w:rsid w:val="001F532E"/>
    <w:rsid w:val="0021690D"/>
    <w:rsid w:val="002F0CC8"/>
    <w:rsid w:val="0030635E"/>
    <w:rsid w:val="00333B02"/>
    <w:rsid w:val="003410D9"/>
    <w:rsid w:val="00346BC4"/>
    <w:rsid w:val="00367B6F"/>
    <w:rsid w:val="0038518A"/>
    <w:rsid w:val="00391ECE"/>
    <w:rsid w:val="00392E65"/>
    <w:rsid w:val="003B6FAD"/>
    <w:rsid w:val="003B742F"/>
    <w:rsid w:val="003E22B8"/>
    <w:rsid w:val="004276CB"/>
    <w:rsid w:val="0044135E"/>
    <w:rsid w:val="00453FF8"/>
    <w:rsid w:val="004605FA"/>
    <w:rsid w:val="00466FCD"/>
    <w:rsid w:val="004909FF"/>
    <w:rsid w:val="00496A3F"/>
    <w:rsid w:val="004970A8"/>
    <w:rsid w:val="004B64E3"/>
    <w:rsid w:val="004D0F2D"/>
    <w:rsid w:val="004F5218"/>
    <w:rsid w:val="00522CC2"/>
    <w:rsid w:val="005250E3"/>
    <w:rsid w:val="0053722A"/>
    <w:rsid w:val="00543624"/>
    <w:rsid w:val="005440D0"/>
    <w:rsid w:val="005C22AA"/>
    <w:rsid w:val="005F7F02"/>
    <w:rsid w:val="00612627"/>
    <w:rsid w:val="0061287F"/>
    <w:rsid w:val="00616D04"/>
    <w:rsid w:val="006361E7"/>
    <w:rsid w:val="0065036B"/>
    <w:rsid w:val="00655E14"/>
    <w:rsid w:val="0066659A"/>
    <w:rsid w:val="0067379F"/>
    <w:rsid w:val="0068508F"/>
    <w:rsid w:val="006D5005"/>
    <w:rsid w:val="00720D74"/>
    <w:rsid w:val="00722A7D"/>
    <w:rsid w:val="007342D4"/>
    <w:rsid w:val="0073447B"/>
    <w:rsid w:val="00766ED2"/>
    <w:rsid w:val="00774110"/>
    <w:rsid w:val="00793890"/>
    <w:rsid w:val="007B5F21"/>
    <w:rsid w:val="007D490B"/>
    <w:rsid w:val="008023D2"/>
    <w:rsid w:val="00845302"/>
    <w:rsid w:val="00845821"/>
    <w:rsid w:val="008914D5"/>
    <w:rsid w:val="008C5C40"/>
    <w:rsid w:val="00925526"/>
    <w:rsid w:val="00943E7B"/>
    <w:rsid w:val="00953973"/>
    <w:rsid w:val="009804E5"/>
    <w:rsid w:val="00991758"/>
    <w:rsid w:val="009B0AA8"/>
    <w:rsid w:val="009B16EE"/>
    <w:rsid w:val="009B4E5A"/>
    <w:rsid w:val="009C651D"/>
    <w:rsid w:val="009D496F"/>
    <w:rsid w:val="00A03E45"/>
    <w:rsid w:val="00A10253"/>
    <w:rsid w:val="00A32681"/>
    <w:rsid w:val="00A36BE5"/>
    <w:rsid w:val="00A54CE1"/>
    <w:rsid w:val="00A671E8"/>
    <w:rsid w:val="00A809BC"/>
    <w:rsid w:val="00AB5B87"/>
    <w:rsid w:val="00AC7B0C"/>
    <w:rsid w:val="00B11582"/>
    <w:rsid w:val="00B15F89"/>
    <w:rsid w:val="00B169CD"/>
    <w:rsid w:val="00B26113"/>
    <w:rsid w:val="00B5456E"/>
    <w:rsid w:val="00B565B5"/>
    <w:rsid w:val="00B7114D"/>
    <w:rsid w:val="00B80FAF"/>
    <w:rsid w:val="00B845BE"/>
    <w:rsid w:val="00B85F84"/>
    <w:rsid w:val="00B90930"/>
    <w:rsid w:val="00B95433"/>
    <w:rsid w:val="00BA0365"/>
    <w:rsid w:val="00BC2C37"/>
    <w:rsid w:val="00BD6C38"/>
    <w:rsid w:val="00BE0437"/>
    <w:rsid w:val="00BE6913"/>
    <w:rsid w:val="00C25220"/>
    <w:rsid w:val="00C67F2D"/>
    <w:rsid w:val="00C82D0E"/>
    <w:rsid w:val="00C8532C"/>
    <w:rsid w:val="00C93517"/>
    <w:rsid w:val="00C95D7A"/>
    <w:rsid w:val="00CA20A4"/>
    <w:rsid w:val="00CB1288"/>
    <w:rsid w:val="00CF5F0B"/>
    <w:rsid w:val="00D53CE8"/>
    <w:rsid w:val="00D91A0E"/>
    <w:rsid w:val="00DD31B9"/>
    <w:rsid w:val="00E24308"/>
    <w:rsid w:val="00E46E87"/>
    <w:rsid w:val="00E51003"/>
    <w:rsid w:val="00E77298"/>
    <w:rsid w:val="00EB0D53"/>
    <w:rsid w:val="00EE4174"/>
    <w:rsid w:val="00F02A5E"/>
    <w:rsid w:val="00F27CCA"/>
    <w:rsid w:val="00F50677"/>
    <w:rsid w:val="00F74AE8"/>
    <w:rsid w:val="00F773B4"/>
    <w:rsid w:val="00F80654"/>
    <w:rsid w:val="00F90621"/>
    <w:rsid w:val="00F93974"/>
    <w:rsid w:val="00F96E0B"/>
    <w:rsid w:val="00FA2299"/>
    <w:rsid w:val="00FA3026"/>
    <w:rsid w:val="00FA4C00"/>
    <w:rsid w:val="00FB2AB3"/>
    <w:rsid w:val="00FC46C3"/>
    <w:rsid w:val="00FE0557"/>
    <w:rsid w:val="00FF6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F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456E"/>
    <w:pPr>
      <w:tabs>
        <w:tab w:val="center" w:pos="4320"/>
        <w:tab w:val="right" w:pos="8640"/>
      </w:tabs>
    </w:pPr>
  </w:style>
  <w:style w:type="character" w:styleId="PageNumber">
    <w:name w:val="page number"/>
    <w:basedOn w:val="DefaultParagraphFont"/>
    <w:rsid w:val="00B5456E"/>
  </w:style>
  <w:style w:type="paragraph" w:styleId="FootnoteText">
    <w:name w:val="footnote text"/>
    <w:basedOn w:val="Normal"/>
    <w:semiHidden/>
    <w:rsid w:val="005F7F02"/>
    <w:rPr>
      <w:sz w:val="20"/>
      <w:szCs w:val="20"/>
    </w:rPr>
  </w:style>
  <w:style w:type="character" w:styleId="FootnoteReference">
    <w:name w:val="footnote reference"/>
    <w:basedOn w:val="DefaultParagraphFont"/>
    <w:semiHidden/>
    <w:rsid w:val="005F7F02"/>
    <w:rPr>
      <w:vertAlign w:val="superscript"/>
    </w:rPr>
  </w:style>
  <w:style w:type="character" w:styleId="Hyperlink">
    <w:name w:val="Hyperlink"/>
    <w:basedOn w:val="DefaultParagraphFont"/>
    <w:rsid w:val="003B6FAD"/>
    <w:rPr>
      <w:color w:val="0000FF"/>
      <w:u w:val="single"/>
    </w:rPr>
  </w:style>
  <w:style w:type="paragraph" w:styleId="BalloonText">
    <w:name w:val="Balloon Text"/>
    <w:basedOn w:val="Normal"/>
    <w:semiHidden/>
    <w:rsid w:val="00FB2AB3"/>
    <w:rPr>
      <w:rFonts w:ascii="Tahoma" w:hAnsi="Tahoma" w:cs="Tahoma"/>
      <w:sz w:val="16"/>
      <w:szCs w:val="16"/>
    </w:rPr>
  </w:style>
  <w:style w:type="character" w:styleId="CommentReference">
    <w:name w:val="annotation reference"/>
    <w:basedOn w:val="DefaultParagraphFont"/>
    <w:semiHidden/>
    <w:rsid w:val="00496A3F"/>
    <w:rPr>
      <w:sz w:val="16"/>
      <w:szCs w:val="16"/>
    </w:rPr>
  </w:style>
  <w:style w:type="paragraph" w:styleId="CommentText">
    <w:name w:val="annotation text"/>
    <w:basedOn w:val="Normal"/>
    <w:semiHidden/>
    <w:rsid w:val="00496A3F"/>
    <w:rPr>
      <w:sz w:val="20"/>
      <w:szCs w:val="20"/>
    </w:rPr>
  </w:style>
  <w:style w:type="paragraph" w:styleId="CommentSubject">
    <w:name w:val="annotation subject"/>
    <w:basedOn w:val="CommentText"/>
    <w:next w:val="CommentText"/>
    <w:semiHidden/>
    <w:rsid w:val="00496A3F"/>
    <w:rPr>
      <w:b/>
      <w:bCs/>
    </w:rPr>
  </w:style>
  <w:style w:type="paragraph" w:styleId="Header">
    <w:name w:val="header"/>
    <w:basedOn w:val="Normal"/>
    <w:link w:val="HeaderChar"/>
    <w:rsid w:val="0067379F"/>
    <w:pPr>
      <w:tabs>
        <w:tab w:val="center" w:pos="4680"/>
        <w:tab w:val="right" w:pos="9360"/>
      </w:tabs>
    </w:pPr>
  </w:style>
  <w:style w:type="character" w:customStyle="1" w:styleId="HeaderChar">
    <w:name w:val="Header Char"/>
    <w:basedOn w:val="DefaultParagraphFont"/>
    <w:link w:val="Header"/>
    <w:rsid w:val="0067379F"/>
    <w:rPr>
      <w:sz w:val="24"/>
      <w:szCs w:val="24"/>
    </w:rPr>
  </w:style>
  <w:style w:type="paragraph" w:styleId="Revision">
    <w:name w:val="Revision"/>
    <w:hidden/>
    <w:uiPriority w:val="99"/>
    <w:semiHidden/>
    <w:rsid w:val="006737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5456E"/>
    <w:pPr>
      <w:tabs>
        <w:tab w:val="center" w:pos="4320"/>
        <w:tab w:val="right" w:pos="8640"/>
      </w:tabs>
    </w:pPr>
  </w:style>
  <w:style w:type="character" w:styleId="PageNumber">
    <w:name w:val="page number"/>
    <w:basedOn w:val="DefaultParagraphFont"/>
    <w:rsid w:val="00B5456E"/>
  </w:style>
  <w:style w:type="paragraph" w:styleId="FootnoteText">
    <w:name w:val="footnote text"/>
    <w:basedOn w:val="Normal"/>
    <w:semiHidden/>
    <w:rsid w:val="005F7F02"/>
    <w:rPr>
      <w:sz w:val="20"/>
      <w:szCs w:val="20"/>
    </w:rPr>
  </w:style>
  <w:style w:type="character" w:styleId="FootnoteReference">
    <w:name w:val="footnote reference"/>
    <w:basedOn w:val="DefaultParagraphFont"/>
    <w:semiHidden/>
    <w:rsid w:val="005F7F02"/>
    <w:rPr>
      <w:vertAlign w:val="superscript"/>
    </w:rPr>
  </w:style>
  <w:style w:type="character" w:styleId="Hyperlink">
    <w:name w:val="Hyperlink"/>
    <w:basedOn w:val="DefaultParagraphFont"/>
    <w:rsid w:val="003B6FAD"/>
    <w:rPr>
      <w:color w:val="0000FF"/>
      <w:u w:val="single"/>
    </w:rPr>
  </w:style>
  <w:style w:type="paragraph" w:styleId="BalloonText">
    <w:name w:val="Balloon Text"/>
    <w:basedOn w:val="Normal"/>
    <w:semiHidden/>
    <w:rsid w:val="00FB2AB3"/>
    <w:rPr>
      <w:rFonts w:ascii="Tahoma" w:hAnsi="Tahoma" w:cs="Tahoma"/>
      <w:sz w:val="16"/>
      <w:szCs w:val="16"/>
    </w:rPr>
  </w:style>
  <w:style w:type="character" w:styleId="CommentReference">
    <w:name w:val="annotation reference"/>
    <w:basedOn w:val="DefaultParagraphFont"/>
    <w:semiHidden/>
    <w:rsid w:val="00496A3F"/>
    <w:rPr>
      <w:sz w:val="16"/>
      <w:szCs w:val="16"/>
    </w:rPr>
  </w:style>
  <w:style w:type="paragraph" w:styleId="CommentText">
    <w:name w:val="annotation text"/>
    <w:basedOn w:val="Normal"/>
    <w:semiHidden/>
    <w:rsid w:val="00496A3F"/>
    <w:rPr>
      <w:sz w:val="20"/>
      <w:szCs w:val="20"/>
    </w:rPr>
  </w:style>
  <w:style w:type="paragraph" w:styleId="CommentSubject">
    <w:name w:val="annotation subject"/>
    <w:basedOn w:val="CommentText"/>
    <w:next w:val="CommentText"/>
    <w:semiHidden/>
    <w:rsid w:val="00496A3F"/>
    <w:rPr>
      <w:b/>
      <w:bCs/>
    </w:rPr>
  </w:style>
  <w:style w:type="paragraph" w:styleId="Header">
    <w:name w:val="header"/>
    <w:basedOn w:val="Normal"/>
    <w:link w:val="HeaderChar"/>
    <w:rsid w:val="0067379F"/>
    <w:pPr>
      <w:tabs>
        <w:tab w:val="center" w:pos="4680"/>
        <w:tab w:val="right" w:pos="9360"/>
      </w:tabs>
    </w:pPr>
  </w:style>
  <w:style w:type="character" w:customStyle="1" w:styleId="HeaderChar">
    <w:name w:val="Header Char"/>
    <w:basedOn w:val="DefaultParagraphFont"/>
    <w:link w:val="Header"/>
    <w:rsid w:val="0067379F"/>
    <w:rPr>
      <w:sz w:val="24"/>
      <w:szCs w:val="24"/>
    </w:rPr>
  </w:style>
  <w:style w:type="paragraph" w:styleId="Revision">
    <w:name w:val="Revision"/>
    <w:hidden/>
    <w:uiPriority w:val="99"/>
    <w:semiHidden/>
    <w:rsid w:val="0067379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wil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8585-CDD3-4944-8907-4F58FE1B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The fractionated ownership of Indian allotments created by the General Allotment Act  costs the Department of the Interior approximately $432 million annually to manage</vt:lpstr>
    </vt:vector>
  </TitlesOfParts>
  <Company>Microsoft</Company>
  <LinksUpToDate>false</LinksUpToDate>
  <CharactersWithSpaces>21451</CharactersWithSpaces>
  <SharedDoc>false</SharedDoc>
  <HLinks>
    <vt:vector size="6" baseType="variant">
      <vt:variant>
        <vt:i4>2556000</vt:i4>
      </vt:variant>
      <vt:variant>
        <vt:i4>0</vt:i4>
      </vt:variant>
      <vt:variant>
        <vt:i4>0</vt:i4>
      </vt:variant>
      <vt:variant>
        <vt:i4>5</vt:i4>
      </vt:variant>
      <vt:variant>
        <vt:lpwstr>http://www.indianwills.org/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fractionated ownership of Indian allotments created by the General Allotment Act  costs the Department of the Interior approximately $432 million annually to manage</dc:title>
  <dc:creator>Douglas Nash</dc:creator>
  <cp:lastModifiedBy>Law Tech</cp:lastModifiedBy>
  <cp:revision>2</cp:revision>
  <cp:lastPrinted>2009-03-18T00:43:00Z</cp:lastPrinted>
  <dcterms:created xsi:type="dcterms:W3CDTF">2011-08-02T02:03:00Z</dcterms:created>
  <dcterms:modified xsi:type="dcterms:W3CDTF">2011-08-02T02:03:00Z</dcterms:modified>
</cp:coreProperties>
</file>