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CA4" w:rsidRDefault="00EA119A" w:rsidP="00452F81">
      <w:pPr>
        <w:pStyle w:val="NormalWeb"/>
        <w:spacing w:before="0" w:beforeAutospacing="0" w:after="0" w:afterAutospacing="0"/>
        <w:jc w:val="center"/>
        <w:rPr>
          <w:b/>
          <w:smallCaps/>
          <w:color w:val="000000"/>
        </w:rPr>
      </w:pPr>
      <w:r w:rsidRPr="00F57691">
        <w:rPr>
          <w:b/>
          <w:smallCaps/>
          <w:color w:val="000000"/>
        </w:rPr>
        <w:t xml:space="preserve">Testimony </w:t>
      </w:r>
    </w:p>
    <w:p w:rsidR="00EA119A" w:rsidRPr="00F57691" w:rsidRDefault="00EA119A" w:rsidP="00452F81">
      <w:pPr>
        <w:pStyle w:val="NormalWeb"/>
        <w:spacing w:before="0" w:beforeAutospacing="0" w:after="0" w:afterAutospacing="0"/>
        <w:jc w:val="center"/>
        <w:rPr>
          <w:b/>
          <w:smallCaps/>
          <w:color w:val="000000"/>
        </w:rPr>
      </w:pPr>
      <w:r w:rsidRPr="00F57691">
        <w:rPr>
          <w:b/>
          <w:smallCaps/>
          <w:color w:val="000000"/>
        </w:rPr>
        <w:t>of</w:t>
      </w:r>
    </w:p>
    <w:p w:rsidR="00EA119A" w:rsidRDefault="00605CA4" w:rsidP="00605CA4">
      <w:pPr>
        <w:pStyle w:val="NormalWeb"/>
        <w:spacing w:before="0" w:beforeAutospacing="0" w:after="0" w:afterAutospacing="0"/>
        <w:jc w:val="center"/>
        <w:rPr>
          <w:b/>
          <w:smallCaps/>
          <w:color w:val="000000"/>
        </w:rPr>
      </w:pPr>
      <w:r>
        <w:rPr>
          <w:b/>
          <w:smallCaps/>
          <w:color w:val="000000"/>
        </w:rPr>
        <w:t xml:space="preserve">David </w:t>
      </w:r>
      <w:r w:rsidR="0040273E">
        <w:rPr>
          <w:b/>
          <w:smallCaps/>
          <w:color w:val="000000"/>
        </w:rPr>
        <w:t xml:space="preserve">J. </w:t>
      </w:r>
      <w:r>
        <w:rPr>
          <w:b/>
          <w:smallCaps/>
          <w:color w:val="000000"/>
        </w:rPr>
        <w:t>Hayes</w:t>
      </w:r>
    </w:p>
    <w:p w:rsidR="00605CA4" w:rsidRPr="00F57691" w:rsidRDefault="00605CA4" w:rsidP="00605CA4">
      <w:pPr>
        <w:pStyle w:val="NormalWeb"/>
        <w:spacing w:before="0" w:beforeAutospacing="0" w:after="0" w:afterAutospacing="0"/>
        <w:jc w:val="center"/>
        <w:rPr>
          <w:b/>
          <w:smallCaps/>
          <w:color w:val="000000"/>
        </w:rPr>
      </w:pPr>
      <w:r>
        <w:rPr>
          <w:b/>
          <w:smallCaps/>
          <w:color w:val="000000"/>
        </w:rPr>
        <w:t>Deputy Secretary</w:t>
      </w:r>
    </w:p>
    <w:p w:rsidR="00EA119A" w:rsidRPr="00F57691" w:rsidRDefault="00EA119A" w:rsidP="00452F81">
      <w:pPr>
        <w:pStyle w:val="NormalWeb"/>
        <w:spacing w:before="0" w:beforeAutospacing="0" w:after="0" w:afterAutospacing="0"/>
        <w:jc w:val="center"/>
        <w:rPr>
          <w:b/>
          <w:smallCaps/>
          <w:color w:val="000000"/>
        </w:rPr>
      </w:pPr>
      <w:r w:rsidRPr="00F57691">
        <w:rPr>
          <w:b/>
          <w:smallCaps/>
          <w:color w:val="000000"/>
        </w:rPr>
        <w:t>United States Department of the Interior</w:t>
      </w:r>
    </w:p>
    <w:p w:rsidR="00EA119A" w:rsidRPr="00F57691" w:rsidRDefault="00EA119A" w:rsidP="00EA119A">
      <w:pPr>
        <w:pStyle w:val="NormalWeb"/>
        <w:spacing w:before="0" w:beforeAutospacing="0" w:after="0" w:afterAutospacing="0"/>
        <w:jc w:val="center"/>
        <w:rPr>
          <w:b/>
          <w:smallCaps/>
          <w:color w:val="000000"/>
        </w:rPr>
      </w:pPr>
      <w:r w:rsidRPr="00F57691">
        <w:rPr>
          <w:b/>
          <w:smallCaps/>
          <w:color w:val="000000"/>
        </w:rPr>
        <w:t xml:space="preserve">Before the </w:t>
      </w:r>
    </w:p>
    <w:p w:rsidR="00EA119A" w:rsidRPr="00F57691" w:rsidRDefault="00EA119A" w:rsidP="00EA119A">
      <w:pPr>
        <w:pStyle w:val="NormalWeb"/>
        <w:spacing w:before="0" w:beforeAutospacing="0" w:after="0" w:afterAutospacing="0"/>
        <w:jc w:val="center"/>
        <w:rPr>
          <w:b/>
          <w:smallCaps/>
          <w:color w:val="000000"/>
        </w:rPr>
      </w:pPr>
      <w:r w:rsidRPr="00F57691">
        <w:rPr>
          <w:b/>
          <w:smallCaps/>
          <w:color w:val="000000"/>
        </w:rPr>
        <w:t>United States Senate</w:t>
      </w:r>
    </w:p>
    <w:p w:rsidR="00EA119A" w:rsidRPr="00F57691" w:rsidRDefault="00EA119A" w:rsidP="00452F81">
      <w:pPr>
        <w:pStyle w:val="NormalWeb"/>
        <w:spacing w:before="0" w:beforeAutospacing="0" w:after="0" w:afterAutospacing="0"/>
        <w:jc w:val="center"/>
        <w:rPr>
          <w:b/>
          <w:smallCaps/>
          <w:color w:val="000000"/>
        </w:rPr>
      </w:pPr>
      <w:r w:rsidRPr="00F57691">
        <w:rPr>
          <w:b/>
          <w:smallCaps/>
          <w:color w:val="000000"/>
        </w:rPr>
        <w:t>Committee on Indian Affairs</w:t>
      </w:r>
    </w:p>
    <w:p w:rsidR="00EA119A" w:rsidRPr="00F57691" w:rsidRDefault="00EA119A" w:rsidP="00452F81">
      <w:pPr>
        <w:pStyle w:val="NormalWeb"/>
        <w:spacing w:before="0" w:beforeAutospacing="0" w:after="0" w:afterAutospacing="0"/>
        <w:jc w:val="center"/>
        <w:rPr>
          <w:b/>
          <w:smallCaps/>
          <w:color w:val="000000"/>
        </w:rPr>
      </w:pPr>
      <w:r w:rsidRPr="00F57691">
        <w:rPr>
          <w:b/>
          <w:smallCaps/>
          <w:color w:val="000000"/>
        </w:rPr>
        <w:t>On</w:t>
      </w:r>
    </w:p>
    <w:p w:rsidR="00EA119A" w:rsidRPr="00F57691" w:rsidRDefault="00EA119A" w:rsidP="00EA119A">
      <w:pPr>
        <w:pStyle w:val="NormalWeb"/>
        <w:spacing w:before="0" w:beforeAutospacing="0" w:after="0" w:afterAutospacing="0"/>
        <w:jc w:val="center"/>
        <w:rPr>
          <w:b/>
          <w:smallCaps/>
          <w:color w:val="000000"/>
        </w:rPr>
      </w:pPr>
      <w:r w:rsidRPr="00F57691">
        <w:rPr>
          <w:b/>
          <w:smallCaps/>
          <w:color w:val="000000"/>
        </w:rPr>
        <w:t>Indian Water Rights: Promoting the Negotiation and Implementation of Water Settlements in Indian Country</w:t>
      </w:r>
    </w:p>
    <w:p w:rsidR="00452F81" w:rsidRPr="00F57691" w:rsidRDefault="00452F81" w:rsidP="00452F81">
      <w:pPr>
        <w:pStyle w:val="NormalWeb"/>
        <w:spacing w:before="0" w:beforeAutospacing="0" w:after="0" w:afterAutospacing="0"/>
        <w:jc w:val="center"/>
        <w:rPr>
          <w:rFonts w:cs="Arial"/>
          <w:b/>
          <w:smallCaps/>
          <w:color w:val="000000"/>
          <w:szCs w:val="19"/>
        </w:rPr>
      </w:pPr>
    </w:p>
    <w:p w:rsidR="00452F81" w:rsidRPr="00F57691" w:rsidRDefault="00EA119A" w:rsidP="00452F81">
      <w:pPr>
        <w:pStyle w:val="NormalWeb"/>
        <w:spacing w:before="0" w:beforeAutospacing="0" w:after="0" w:afterAutospacing="0"/>
        <w:jc w:val="center"/>
        <w:rPr>
          <w:rFonts w:cs="Arial"/>
          <w:b/>
          <w:smallCaps/>
          <w:color w:val="000000"/>
          <w:szCs w:val="19"/>
        </w:rPr>
      </w:pPr>
      <w:r w:rsidRPr="00F57691">
        <w:rPr>
          <w:b/>
          <w:smallCaps/>
          <w:color w:val="000000"/>
        </w:rPr>
        <w:t>March 15</w:t>
      </w:r>
      <w:r w:rsidR="00452F81" w:rsidRPr="00F57691">
        <w:rPr>
          <w:b/>
          <w:smallCaps/>
          <w:color w:val="000000"/>
        </w:rPr>
        <w:t xml:space="preserve">, </w:t>
      </w:r>
      <w:r w:rsidRPr="00F57691">
        <w:rPr>
          <w:b/>
          <w:smallCaps/>
          <w:color w:val="000000"/>
        </w:rPr>
        <w:t>2012</w:t>
      </w:r>
    </w:p>
    <w:p w:rsidR="00452F81" w:rsidRPr="00F57691" w:rsidRDefault="00452F81" w:rsidP="00452F81">
      <w:pPr>
        <w:pStyle w:val="NormalWeb"/>
        <w:spacing w:before="0" w:beforeAutospacing="0" w:after="0" w:afterAutospacing="0"/>
        <w:rPr>
          <w:rFonts w:cs="Arial"/>
          <w:color w:val="000000"/>
          <w:szCs w:val="19"/>
        </w:rPr>
      </w:pPr>
      <w:r w:rsidRPr="00F57691">
        <w:rPr>
          <w:color w:val="000000"/>
        </w:rPr>
        <w:t> </w:t>
      </w:r>
    </w:p>
    <w:p w:rsidR="00F57691" w:rsidRDefault="00F57691" w:rsidP="00EA119A">
      <w:pPr>
        <w:pStyle w:val="NormalWeb"/>
        <w:spacing w:before="0" w:beforeAutospacing="0" w:after="0" w:afterAutospacing="0"/>
        <w:jc w:val="both"/>
        <w:rPr>
          <w:color w:val="000000"/>
        </w:rPr>
      </w:pPr>
      <w:r>
        <w:rPr>
          <w:color w:val="000000"/>
        </w:rPr>
        <w:t>Chair</w:t>
      </w:r>
      <w:r w:rsidR="00452F81" w:rsidRPr="00F57691">
        <w:rPr>
          <w:color w:val="000000"/>
        </w:rPr>
        <w:t xml:space="preserve">man </w:t>
      </w:r>
      <w:r>
        <w:rPr>
          <w:color w:val="000000"/>
        </w:rPr>
        <w:t xml:space="preserve">Akaka </w:t>
      </w:r>
      <w:r w:rsidR="00452F81" w:rsidRPr="00F57691">
        <w:rPr>
          <w:color w:val="000000"/>
        </w:rPr>
        <w:t xml:space="preserve">and </w:t>
      </w:r>
      <w:r w:rsidR="004F601F">
        <w:rPr>
          <w:color w:val="000000"/>
        </w:rPr>
        <w:t xml:space="preserve">Vice-Chairman </w:t>
      </w:r>
      <w:r>
        <w:rPr>
          <w:color w:val="000000"/>
        </w:rPr>
        <w:t>Barrasso</w:t>
      </w:r>
      <w:r w:rsidR="0040273E">
        <w:rPr>
          <w:color w:val="000000"/>
        </w:rPr>
        <w:t>,</w:t>
      </w:r>
      <w:r>
        <w:rPr>
          <w:color w:val="000000"/>
        </w:rPr>
        <w:t xml:space="preserve"> and</w:t>
      </w:r>
      <w:r w:rsidR="004A20EA">
        <w:rPr>
          <w:color w:val="000000"/>
        </w:rPr>
        <w:t>,</w:t>
      </w:r>
      <w:r>
        <w:rPr>
          <w:color w:val="000000"/>
        </w:rPr>
        <w:t xml:space="preserve"> Members of the C</w:t>
      </w:r>
      <w:r w:rsidR="00452F81" w:rsidRPr="00F57691">
        <w:rPr>
          <w:color w:val="000000"/>
        </w:rPr>
        <w:t xml:space="preserve">ommittee, </w:t>
      </w:r>
      <w:r>
        <w:rPr>
          <w:color w:val="000000"/>
        </w:rPr>
        <w:t xml:space="preserve">my name is </w:t>
      </w:r>
      <w:r w:rsidR="00605CA4">
        <w:rPr>
          <w:color w:val="000000"/>
        </w:rPr>
        <w:t xml:space="preserve">David </w:t>
      </w:r>
      <w:r w:rsidR="0040273E">
        <w:rPr>
          <w:color w:val="000000"/>
        </w:rPr>
        <w:t xml:space="preserve">J. </w:t>
      </w:r>
      <w:r w:rsidR="00605CA4">
        <w:rPr>
          <w:color w:val="000000"/>
        </w:rPr>
        <w:t>Hayes</w:t>
      </w:r>
      <w:r>
        <w:rPr>
          <w:color w:val="000000"/>
        </w:rPr>
        <w:t xml:space="preserve">, and I am the </w:t>
      </w:r>
      <w:r w:rsidR="00605CA4">
        <w:rPr>
          <w:color w:val="000000"/>
        </w:rPr>
        <w:t xml:space="preserve">Deputy Secretary </w:t>
      </w:r>
      <w:r w:rsidR="0040273E">
        <w:rPr>
          <w:color w:val="000000"/>
        </w:rPr>
        <w:t xml:space="preserve">of </w:t>
      </w:r>
      <w:r w:rsidR="00605CA4">
        <w:rPr>
          <w:color w:val="000000"/>
        </w:rPr>
        <w:t>the Department of the Interior (Department)</w:t>
      </w:r>
      <w:r>
        <w:rPr>
          <w:color w:val="000000"/>
        </w:rPr>
        <w:t>.</w:t>
      </w:r>
    </w:p>
    <w:p w:rsidR="00342B44" w:rsidRPr="00264773" w:rsidRDefault="00342B44" w:rsidP="00EA119A">
      <w:pPr>
        <w:pStyle w:val="NormalWeb"/>
        <w:spacing w:before="0" w:beforeAutospacing="0" w:after="0" w:afterAutospacing="0"/>
        <w:jc w:val="both"/>
        <w:rPr>
          <w:color w:val="000000"/>
        </w:rPr>
      </w:pPr>
    </w:p>
    <w:p w:rsidR="00F133F8" w:rsidRPr="00F133F8" w:rsidRDefault="00605CA4" w:rsidP="00024673">
      <w:pPr>
        <w:pStyle w:val="PlainText"/>
        <w:autoSpaceDE w:val="0"/>
        <w:autoSpaceDN w:val="0"/>
        <w:jc w:val="both"/>
        <w:rPr>
          <w:rFonts w:ascii="Times New Roman" w:hAnsi="Times New Roman"/>
          <w:sz w:val="24"/>
          <w:szCs w:val="24"/>
        </w:rPr>
      </w:pPr>
      <w:r w:rsidRPr="00F133F8">
        <w:rPr>
          <w:rFonts w:ascii="Times New Roman" w:hAnsi="Times New Roman"/>
          <w:color w:val="000000"/>
          <w:sz w:val="24"/>
          <w:szCs w:val="24"/>
        </w:rPr>
        <w:t>T</w:t>
      </w:r>
      <w:r w:rsidR="00452F81" w:rsidRPr="00F133F8">
        <w:rPr>
          <w:rFonts w:ascii="Times New Roman" w:hAnsi="Times New Roman"/>
          <w:color w:val="000000"/>
          <w:sz w:val="24"/>
          <w:szCs w:val="24"/>
        </w:rPr>
        <w:t>hank you for the opportunity to appear before you today</w:t>
      </w:r>
      <w:r w:rsidR="00CD7CB6" w:rsidRPr="00F133F8">
        <w:rPr>
          <w:rFonts w:ascii="Times New Roman" w:hAnsi="Times New Roman"/>
          <w:color w:val="000000"/>
          <w:sz w:val="24"/>
          <w:szCs w:val="24"/>
        </w:rPr>
        <w:t xml:space="preserve"> to discuss this Administration’</w:t>
      </w:r>
      <w:r w:rsidR="00452F81" w:rsidRPr="00F133F8">
        <w:rPr>
          <w:rFonts w:ascii="Times New Roman" w:hAnsi="Times New Roman"/>
          <w:color w:val="000000"/>
          <w:sz w:val="24"/>
          <w:szCs w:val="24"/>
        </w:rPr>
        <w:t>s policy on Indian water rights settlements.</w:t>
      </w:r>
      <w:r w:rsidR="00024673" w:rsidRPr="00F133F8">
        <w:rPr>
          <w:rFonts w:ascii="Times New Roman" w:hAnsi="Times New Roman"/>
          <w:color w:val="000000"/>
          <w:sz w:val="24"/>
          <w:szCs w:val="24"/>
        </w:rPr>
        <w:t xml:space="preserve">  </w:t>
      </w:r>
      <w:r w:rsidR="00024673" w:rsidRPr="00F133F8">
        <w:rPr>
          <w:rFonts w:ascii="Times New Roman" w:hAnsi="Times New Roman"/>
          <w:sz w:val="24"/>
          <w:szCs w:val="24"/>
        </w:rPr>
        <w:t xml:space="preserve">As you may know, I served </w:t>
      </w:r>
      <w:r w:rsidR="0040273E" w:rsidRPr="00F133F8">
        <w:rPr>
          <w:rFonts w:ascii="Times New Roman" w:hAnsi="Times New Roman"/>
          <w:sz w:val="24"/>
          <w:szCs w:val="24"/>
        </w:rPr>
        <w:t xml:space="preserve">first </w:t>
      </w:r>
      <w:r w:rsidR="00024673" w:rsidRPr="00F133F8">
        <w:rPr>
          <w:rFonts w:ascii="Times New Roman" w:hAnsi="Times New Roman"/>
          <w:sz w:val="24"/>
          <w:szCs w:val="24"/>
        </w:rPr>
        <w:t>as Counselor</w:t>
      </w:r>
      <w:r w:rsidR="0040273E" w:rsidRPr="00F133F8">
        <w:rPr>
          <w:rFonts w:ascii="Times New Roman" w:hAnsi="Times New Roman"/>
          <w:sz w:val="24"/>
          <w:szCs w:val="24"/>
        </w:rPr>
        <w:t xml:space="preserve"> </w:t>
      </w:r>
      <w:r w:rsidR="00024673" w:rsidRPr="00F133F8">
        <w:rPr>
          <w:rFonts w:ascii="Times New Roman" w:hAnsi="Times New Roman"/>
          <w:sz w:val="24"/>
          <w:szCs w:val="24"/>
        </w:rPr>
        <w:t xml:space="preserve">to then-Secretary of the Interior, Bruce Babbitt, </w:t>
      </w:r>
      <w:r w:rsidR="0040273E" w:rsidRPr="00F133F8">
        <w:rPr>
          <w:rFonts w:ascii="Times New Roman" w:hAnsi="Times New Roman"/>
          <w:sz w:val="24"/>
          <w:szCs w:val="24"/>
        </w:rPr>
        <w:t xml:space="preserve">and later as Deputy Secretary </w:t>
      </w:r>
      <w:r w:rsidR="00024673" w:rsidRPr="00F133F8">
        <w:rPr>
          <w:rFonts w:ascii="Times New Roman" w:hAnsi="Times New Roman"/>
          <w:sz w:val="24"/>
          <w:szCs w:val="24"/>
        </w:rPr>
        <w:t>during the Clinton Administration</w:t>
      </w:r>
      <w:r w:rsidR="0040273E" w:rsidRPr="00F133F8">
        <w:rPr>
          <w:rFonts w:ascii="Times New Roman" w:hAnsi="Times New Roman"/>
          <w:sz w:val="24"/>
          <w:szCs w:val="24"/>
        </w:rPr>
        <w:t>.  In those capacities</w:t>
      </w:r>
      <w:r w:rsidR="00024673" w:rsidRPr="00F133F8">
        <w:rPr>
          <w:rFonts w:ascii="Times New Roman" w:hAnsi="Times New Roman"/>
          <w:sz w:val="24"/>
          <w:szCs w:val="24"/>
        </w:rPr>
        <w:t xml:space="preserve">, </w:t>
      </w:r>
      <w:r w:rsidR="0040273E" w:rsidRPr="00F133F8">
        <w:rPr>
          <w:rFonts w:ascii="Times New Roman" w:hAnsi="Times New Roman"/>
          <w:sz w:val="24"/>
          <w:szCs w:val="24"/>
        </w:rPr>
        <w:t>I chaired the Department’s Working Group on Indian Water Settlements and played a leadership role in</w:t>
      </w:r>
      <w:r w:rsidR="00024673" w:rsidRPr="00F133F8">
        <w:rPr>
          <w:rFonts w:ascii="Times New Roman" w:hAnsi="Times New Roman"/>
          <w:sz w:val="24"/>
          <w:szCs w:val="24"/>
        </w:rPr>
        <w:t xml:space="preserve"> the Department’s Indian water rights program.  </w:t>
      </w:r>
      <w:r w:rsidR="00F133F8" w:rsidRPr="00F133F8">
        <w:rPr>
          <w:rFonts w:ascii="Times New Roman" w:hAnsi="Times New Roman"/>
          <w:sz w:val="24"/>
          <w:szCs w:val="24"/>
        </w:rPr>
        <w:t xml:space="preserve">During those years, we worked </w:t>
      </w:r>
      <w:r w:rsidR="00830988">
        <w:rPr>
          <w:rFonts w:ascii="Times New Roman" w:hAnsi="Times New Roman"/>
          <w:sz w:val="24"/>
          <w:szCs w:val="24"/>
        </w:rPr>
        <w:t xml:space="preserve">on </w:t>
      </w:r>
      <w:r w:rsidR="00F133F8" w:rsidRPr="00F133F8">
        <w:rPr>
          <w:rFonts w:ascii="Times New Roman" w:hAnsi="Times New Roman"/>
          <w:sz w:val="24"/>
          <w:szCs w:val="24"/>
        </w:rPr>
        <w:t>numerous water settlements.  Some of the settlements, including the Zuni Indian Tribe Water Rights Settlement; the Shivwits Band of the Paiute Indian Tribe of Utah Water Rights Settlement; the Chippewa Cree Tribe of the Rocky Boy's Reservation Indian Reserved Water Rights Settlement; the Yavapai-Prescott Indian Tribe Water Rights Settlement: the Confederated Tribes of the Warm Springs Reservation Water Rights Settlement; the Las Vegas Paiute Settlement; and major amendments to the Colorado Ute Indian Water Rights Settlement Act, came to fruition during that time.  Significant groundwork was also laid on other important settlements that occurred later</w:t>
      </w:r>
      <w:r w:rsidR="003253EF">
        <w:rPr>
          <w:rFonts w:ascii="Times New Roman" w:hAnsi="Times New Roman"/>
          <w:sz w:val="24"/>
          <w:szCs w:val="24"/>
        </w:rPr>
        <w:t>,</w:t>
      </w:r>
      <w:r w:rsidR="00F133F8" w:rsidRPr="00F133F8">
        <w:rPr>
          <w:rFonts w:ascii="Times New Roman" w:hAnsi="Times New Roman"/>
          <w:sz w:val="24"/>
          <w:szCs w:val="24"/>
        </w:rPr>
        <w:t xml:space="preserve"> including the Arizona Water Rights Settlement</w:t>
      </w:r>
      <w:r w:rsidR="003253EF">
        <w:rPr>
          <w:rFonts w:ascii="Times New Roman" w:hAnsi="Times New Roman"/>
          <w:sz w:val="24"/>
          <w:szCs w:val="24"/>
        </w:rPr>
        <w:t>;</w:t>
      </w:r>
      <w:r w:rsidR="00F133F8" w:rsidRPr="00F133F8">
        <w:rPr>
          <w:rFonts w:ascii="Times New Roman" w:hAnsi="Times New Roman"/>
          <w:sz w:val="24"/>
          <w:szCs w:val="24"/>
        </w:rPr>
        <w:t xml:space="preserve"> the Soboba Band of Luiseno Indians Settlement; and the Snake River Water Rights Act.</w:t>
      </w:r>
    </w:p>
    <w:p w:rsidR="00F133F8" w:rsidRPr="00F133F8" w:rsidRDefault="00F133F8" w:rsidP="00024673">
      <w:pPr>
        <w:pStyle w:val="PlainText"/>
        <w:autoSpaceDE w:val="0"/>
        <w:autoSpaceDN w:val="0"/>
        <w:jc w:val="both"/>
        <w:rPr>
          <w:rFonts w:ascii="Times New Roman" w:hAnsi="Times New Roman"/>
          <w:color w:val="000000"/>
          <w:sz w:val="24"/>
          <w:szCs w:val="24"/>
        </w:rPr>
      </w:pPr>
    </w:p>
    <w:p w:rsidR="00342B44" w:rsidRPr="00342B44" w:rsidRDefault="00342B44" w:rsidP="00E73CCF">
      <w:pPr>
        <w:pStyle w:val="NormalWeb"/>
        <w:numPr>
          <w:ilvl w:val="0"/>
          <w:numId w:val="5"/>
        </w:numPr>
        <w:spacing w:before="0" w:beforeAutospacing="0" w:after="0" w:afterAutospacing="0"/>
        <w:jc w:val="both"/>
        <w:rPr>
          <w:b/>
          <w:color w:val="000000"/>
        </w:rPr>
      </w:pPr>
      <w:r w:rsidRPr="00342B44">
        <w:rPr>
          <w:b/>
          <w:color w:val="000000"/>
        </w:rPr>
        <w:t>Introduction</w:t>
      </w:r>
    </w:p>
    <w:p w:rsidR="00342B44" w:rsidRDefault="00342B44" w:rsidP="00024673">
      <w:pPr>
        <w:pStyle w:val="PlainText"/>
        <w:autoSpaceDE w:val="0"/>
        <w:autoSpaceDN w:val="0"/>
        <w:jc w:val="both"/>
        <w:rPr>
          <w:rFonts w:ascii="Times New Roman" w:hAnsi="Times New Roman"/>
          <w:color w:val="000000"/>
          <w:sz w:val="24"/>
          <w:szCs w:val="24"/>
        </w:rPr>
      </w:pPr>
    </w:p>
    <w:p w:rsidR="00BD165F" w:rsidRDefault="00BD165F" w:rsidP="00C47151">
      <w:pPr>
        <w:pStyle w:val="PlainText"/>
        <w:autoSpaceDE w:val="0"/>
        <w:autoSpaceDN w:val="0"/>
        <w:spacing w:after="240"/>
        <w:jc w:val="both"/>
        <w:rPr>
          <w:rFonts w:ascii="Times New Roman" w:hAnsi="Times New Roman"/>
          <w:sz w:val="24"/>
          <w:szCs w:val="24"/>
        </w:rPr>
      </w:pPr>
      <w:r w:rsidRPr="00264773">
        <w:rPr>
          <w:rFonts w:ascii="Times New Roman" w:hAnsi="Times New Roman"/>
          <w:sz w:val="24"/>
          <w:szCs w:val="24"/>
        </w:rPr>
        <w:t xml:space="preserve">The Obama Administration recognizes </w:t>
      </w:r>
      <w:r>
        <w:rPr>
          <w:rFonts w:ascii="Times New Roman" w:hAnsi="Times New Roman"/>
          <w:sz w:val="24"/>
          <w:szCs w:val="24"/>
        </w:rPr>
        <w:t xml:space="preserve">that </w:t>
      </w:r>
      <w:r w:rsidRPr="00264773">
        <w:rPr>
          <w:rFonts w:ascii="Times New Roman" w:hAnsi="Times New Roman"/>
          <w:sz w:val="24"/>
          <w:szCs w:val="24"/>
        </w:rPr>
        <w:t xml:space="preserve">water is </w:t>
      </w:r>
      <w:r>
        <w:rPr>
          <w:rFonts w:ascii="Times New Roman" w:hAnsi="Times New Roman"/>
          <w:sz w:val="24"/>
          <w:szCs w:val="24"/>
        </w:rPr>
        <w:t xml:space="preserve">a sacred and valuable resource for Indian people and </w:t>
      </w:r>
      <w:r w:rsidR="003253EF">
        <w:rPr>
          <w:rFonts w:ascii="Times New Roman" w:hAnsi="Times New Roman"/>
          <w:sz w:val="24"/>
          <w:szCs w:val="24"/>
        </w:rPr>
        <w:t xml:space="preserve">therefore </w:t>
      </w:r>
      <w:r w:rsidRPr="00264773">
        <w:rPr>
          <w:rFonts w:ascii="Times New Roman" w:hAnsi="Times New Roman"/>
          <w:sz w:val="24"/>
          <w:szCs w:val="24"/>
        </w:rPr>
        <w:t>has re-energized the Federal Government’s commitment to addressing the water needs of Native American communities through In</w:t>
      </w:r>
      <w:r>
        <w:rPr>
          <w:rFonts w:ascii="Times New Roman" w:hAnsi="Times New Roman"/>
          <w:sz w:val="24"/>
          <w:szCs w:val="24"/>
        </w:rPr>
        <w:t xml:space="preserve">dian water rights settlements.  Water settlements not </w:t>
      </w:r>
      <w:r>
        <w:rPr>
          <w:rFonts w:ascii="Times New Roman" w:hAnsi="Times New Roman"/>
          <w:bCs/>
          <w:sz w:val="24"/>
          <w:szCs w:val="24"/>
        </w:rPr>
        <w:t xml:space="preserve">only secure tribal water rights but </w:t>
      </w:r>
      <w:r w:rsidR="003253EF">
        <w:rPr>
          <w:rFonts w:ascii="Times New Roman" w:hAnsi="Times New Roman"/>
          <w:bCs/>
          <w:sz w:val="24"/>
          <w:szCs w:val="24"/>
        </w:rPr>
        <w:t xml:space="preserve">also </w:t>
      </w:r>
      <w:r>
        <w:rPr>
          <w:rFonts w:ascii="Times New Roman" w:hAnsi="Times New Roman"/>
          <w:bCs/>
          <w:sz w:val="24"/>
          <w:szCs w:val="24"/>
        </w:rPr>
        <w:t>help fulfill the United States</w:t>
      </w:r>
      <w:r w:rsidR="003253EF">
        <w:rPr>
          <w:rFonts w:ascii="Times New Roman" w:hAnsi="Times New Roman"/>
          <w:bCs/>
          <w:sz w:val="24"/>
          <w:szCs w:val="24"/>
        </w:rPr>
        <w:t>’</w:t>
      </w:r>
      <w:r>
        <w:rPr>
          <w:rFonts w:ascii="Times New Roman" w:hAnsi="Times New Roman"/>
          <w:bCs/>
          <w:sz w:val="24"/>
          <w:szCs w:val="24"/>
        </w:rPr>
        <w:t xml:space="preserve"> promise to tribes that Indian reservations would provide their people with permanent homelands.  Indian water settlements help achieve that goal, while at the same time ending decades </w:t>
      </w:r>
      <w:r w:rsidRPr="00264773">
        <w:rPr>
          <w:rFonts w:ascii="Times New Roman" w:hAnsi="Times New Roman"/>
          <w:bCs/>
          <w:sz w:val="24"/>
          <w:szCs w:val="24"/>
        </w:rPr>
        <w:t xml:space="preserve">of </w:t>
      </w:r>
      <w:r>
        <w:rPr>
          <w:rFonts w:ascii="Times New Roman" w:hAnsi="Times New Roman"/>
          <w:bCs/>
          <w:sz w:val="24"/>
          <w:szCs w:val="24"/>
        </w:rPr>
        <w:t xml:space="preserve">controversy </w:t>
      </w:r>
      <w:r w:rsidRPr="00264773">
        <w:rPr>
          <w:rFonts w:ascii="Times New Roman" w:hAnsi="Times New Roman"/>
          <w:bCs/>
          <w:sz w:val="24"/>
          <w:szCs w:val="24"/>
        </w:rPr>
        <w:t>and contention among</w:t>
      </w:r>
      <w:r>
        <w:rPr>
          <w:rFonts w:ascii="Times New Roman" w:hAnsi="Times New Roman"/>
          <w:bCs/>
          <w:sz w:val="24"/>
          <w:szCs w:val="24"/>
        </w:rPr>
        <w:t xml:space="preserve"> tribes and</w:t>
      </w:r>
      <w:r w:rsidRPr="00264773">
        <w:rPr>
          <w:rFonts w:ascii="Times New Roman" w:hAnsi="Times New Roman"/>
          <w:bCs/>
          <w:sz w:val="24"/>
          <w:szCs w:val="24"/>
        </w:rPr>
        <w:t xml:space="preserve"> neighboring communities</w:t>
      </w:r>
      <w:r>
        <w:rPr>
          <w:rFonts w:ascii="Times New Roman" w:hAnsi="Times New Roman"/>
          <w:bCs/>
          <w:sz w:val="24"/>
          <w:szCs w:val="24"/>
        </w:rPr>
        <w:t xml:space="preserve"> over water.  Indian water settlements provide certainty, which fosters cooperation in the management of water resources.  </w:t>
      </w:r>
    </w:p>
    <w:p w:rsidR="005E3831" w:rsidRPr="005E3831" w:rsidRDefault="003253EF" w:rsidP="00C47151">
      <w:pPr>
        <w:pStyle w:val="PlainText"/>
        <w:autoSpaceDE w:val="0"/>
        <w:autoSpaceDN w:val="0"/>
        <w:spacing w:after="240"/>
        <w:jc w:val="both"/>
        <w:rPr>
          <w:rFonts w:ascii="Times New Roman" w:hAnsi="Times New Roman"/>
          <w:sz w:val="24"/>
          <w:szCs w:val="24"/>
        </w:rPr>
      </w:pPr>
      <w:r>
        <w:rPr>
          <w:rFonts w:ascii="Times New Roman" w:hAnsi="Times New Roman"/>
          <w:sz w:val="24"/>
          <w:szCs w:val="24"/>
        </w:rPr>
        <w:t>In the</w:t>
      </w:r>
      <w:r w:rsidR="00E90EB1">
        <w:rPr>
          <w:rFonts w:ascii="Times New Roman" w:hAnsi="Times New Roman"/>
          <w:sz w:val="24"/>
          <w:szCs w:val="24"/>
        </w:rPr>
        <w:t xml:space="preserve"> last</w:t>
      </w:r>
      <w:r w:rsidR="00264773" w:rsidRPr="00024673">
        <w:rPr>
          <w:rFonts w:ascii="Times New Roman" w:hAnsi="Times New Roman"/>
          <w:sz w:val="24"/>
          <w:szCs w:val="24"/>
        </w:rPr>
        <w:t xml:space="preserve"> Congress, this Administration supported four Indian water rights settlements</w:t>
      </w:r>
      <w:r w:rsidR="006E688B">
        <w:rPr>
          <w:rFonts w:ascii="Times New Roman" w:hAnsi="Times New Roman"/>
          <w:sz w:val="24"/>
          <w:szCs w:val="24"/>
        </w:rPr>
        <w:t xml:space="preserve"> for </w:t>
      </w:r>
      <w:r w:rsidR="00D430C6">
        <w:rPr>
          <w:rFonts w:ascii="Times New Roman" w:hAnsi="Times New Roman"/>
          <w:sz w:val="24"/>
          <w:szCs w:val="24"/>
        </w:rPr>
        <w:t>seven</w:t>
      </w:r>
      <w:r w:rsidR="006E688B">
        <w:rPr>
          <w:rFonts w:ascii="Times New Roman" w:hAnsi="Times New Roman"/>
          <w:sz w:val="24"/>
          <w:szCs w:val="24"/>
        </w:rPr>
        <w:t xml:space="preserve"> tribes</w:t>
      </w:r>
      <w:r w:rsidR="00264773" w:rsidRPr="00024673">
        <w:rPr>
          <w:rFonts w:ascii="Times New Roman" w:hAnsi="Times New Roman"/>
          <w:sz w:val="24"/>
          <w:szCs w:val="24"/>
        </w:rPr>
        <w:t xml:space="preserve"> </w:t>
      </w:r>
      <w:r w:rsidR="006E688B">
        <w:rPr>
          <w:rFonts w:ascii="Times New Roman" w:hAnsi="Times New Roman"/>
          <w:sz w:val="24"/>
          <w:szCs w:val="24"/>
        </w:rPr>
        <w:t>at a total Federal cost of</w:t>
      </w:r>
      <w:r w:rsidR="006E688B" w:rsidRPr="00024673">
        <w:rPr>
          <w:rFonts w:ascii="Times New Roman" w:hAnsi="Times New Roman"/>
          <w:sz w:val="24"/>
          <w:szCs w:val="24"/>
        </w:rPr>
        <w:t xml:space="preserve"> </w:t>
      </w:r>
      <w:r w:rsidR="003E26D9" w:rsidRPr="00024673">
        <w:rPr>
          <w:rFonts w:ascii="Times New Roman" w:hAnsi="Times New Roman"/>
          <w:sz w:val="24"/>
          <w:szCs w:val="24"/>
        </w:rPr>
        <w:t>more than $</w:t>
      </w:r>
      <w:r w:rsidR="00264773" w:rsidRPr="00024673">
        <w:rPr>
          <w:rFonts w:ascii="Times New Roman" w:hAnsi="Times New Roman"/>
          <w:sz w:val="24"/>
          <w:szCs w:val="24"/>
        </w:rPr>
        <w:t>1 billion</w:t>
      </w:r>
      <w:r w:rsidR="003E26D9" w:rsidRPr="00024673">
        <w:rPr>
          <w:rFonts w:ascii="Times New Roman" w:hAnsi="Times New Roman"/>
          <w:sz w:val="24"/>
          <w:szCs w:val="24"/>
        </w:rPr>
        <w:t xml:space="preserve">.  </w:t>
      </w:r>
      <w:r w:rsidR="006E688B">
        <w:rPr>
          <w:rFonts w:ascii="Times New Roman" w:hAnsi="Times New Roman"/>
          <w:sz w:val="24"/>
          <w:szCs w:val="24"/>
        </w:rPr>
        <w:t xml:space="preserve">All told, these settlements resolved well over a century of litigation and bitter disputes.  </w:t>
      </w:r>
      <w:r w:rsidR="003E26D9" w:rsidRPr="00024673">
        <w:rPr>
          <w:rFonts w:ascii="Times New Roman" w:hAnsi="Times New Roman"/>
          <w:sz w:val="24"/>
          <w:szCs w:val="24"/>
        </w:rPr>
        <w:t xml:space="preserve">These settlements </w:t>
      </w:r>
      <w:r w:rsidR="00264773" w:rsidRPr="00024673">
        <w:rPr>
          <w:rFonts w:ascii="Times New Roman" w:hAnsi="Times New Roman"/>
          <w:sz w:val="24"/>
          <w:szCs w:val="24"/>
        </w:rPr>
        <w:t xml:space="preserve">were enacted into law in the </w:t>
      </w:r>
      <w:r w:rsidR="00264773" w:rsidRPr="00024673">
        <w:rPr>
          <w:rFonts w:ascii="Times New Roman" w:hAnsi="Times New Roman"/>
          <w:sz w:val="24"/>
          <w:szCs w:val="24"/>
        </w:rPr>
        <w:lastRenderedPageBreak/>
        <w:t>Claims Resolution Act of 2010, Pub. L</w:t>
      </w:r>
      <w:r w:rsidR="005E3831">
        <w:rPr>
          <w:rFonts w:ascii="Times New Roman" w:hAnsi="Times New Roman"/>
          <w:sz w:val="24"/>
          <w:szCs w:val="24"/>
        </w:rPr>
        <w:t xml:space="preserve">. No. 111-291 (Dec. 9, 2010).  </w:t>
      </w:r>
      <w:r w:rsidR="00282F67">
        <w:rPr>
          <w:rFonts w:ascii="Times New Roman" w:hAnsi="Times New Roman"/>
          <w:sz w:val="24"/>
          <w:szCs w:val="24"/>
        </w:rPr>
        <w:t xml:space="preserve">Support for </w:t>
      </w:r>
      <w:r w:rsidR="00024673">
        <w:rPr>
          <w:rFonts w:ascii="Times New Roman" w:hAnsi="Times New Roman"/>
          <w:sz w:val="24"/>
          <w:szCs w:val="24"/>
        </w:rPr>
        <w:t>four</w:t>
      </w:r>
      <w:r w:rsidR="00024673" w:rsidRPr="00024673">
        <w:rPr>
          <w:rFonts w:ascii="Times New Roman" w:hAnsi="Times New Roman"/>
          <w:sz w:val="24"/>
          <w:szCs w:val="24"/>
        </w:rPr>
        <w:t xml:space="preserve"> Indian water rights settlements </w:t>
      </w:r>
      <w:r w:rsidR="00282F67">
        <w:rPr>
          <w:rFonts w:ascii="Times New Roman" w:hAnsi="Times New Roman"/>
          <w:sz w:val="24"/>
          <w:szCs w:val="24"/>
        </w:rPr>
        <w:t xml:space="preserve">that </w:t>
      </w:r>
      <w:r w:rsidR="00936C42">
        <w:rPr>
          <w:rFonts w:ascii="Times New Roman" w:hAnsi="Times New Roman"/>
          <w:sz w:val="24"/>
          <w:szCs w:val="24"/>
        </w:rPr>
        <w:t xml:space="preserve">were </w:t>
      </w:r>
      <w:r w:rsidR="00282F67">
        <w:rPr>
          <w:rFonts w:ascii="Times New Roman" w:hAnsi="Times New Roman"/>
          <w:sz w:val="24"/>
          <w:szCs w:val="24"/>
        </w:rPr>
        <w:t xml:space="preserve">ultimately enacted during </w:t>
      </w:r>
      <w:r w:rsidR="00024673" w:rsidRPr="00024673">
        <w:rPr>
          <w:rFonts w:ascii="Times New Roman" w:hAnsi="Times New Roman"/>
          <w:sz w:val="24"/>
          <w:szCs w:val="24"/>
        </w:rPr>
        <w:t>one Congress is an unprecedented achievement.</w:t>
      </w:r>
      <w:r w:rsidR="00024673" w:rsidRPr="00024673">
        <w:rPr>
          <w:rFonts w:ascii="Times New Roman" w:hAnsi="Times New Roman"/>
        </w:rPr>
        <w:t xml:space="preserve"> </w:t>
      </w:r>
      <w:r w:rsidR="006E688B">
        <w:rPr>
          <w:rFonts w:ascii="Times New Roman" w:hAnsi="Times New Roman"/>
        </w:rPr>
        <w:t xml:space="preserve"> </w:t>
      </w:r>
      <w:r w:rsidR="006E688B">
        <w:rPr>
          <w:rFonts w:ascii="Times New Roman" w:hAnsi="Times New Roman"/>
          <w:sz w:val="24"/>
          <w:szCs w:val="24"/>
        </w:rPr>
        <w:t xml:space="preserve">This Administration’s active involvement in the negotiations of these settlements led to both significant improvements in the terms of the settlements and reduction in their Federal costs, which ultimately led to our support for them.  Our </w:t>
      </w:r>
      <w:r w:rsidR="006E688B">
        <w:rPr>
          <w:rFonts w:ascii="Times New Roman" w:hAnsi="Times New Roman"/>
          <w:bCs/>
          <w:sz w:val="24"/>
          <w:szCs w:val="24"/>
        </w:rPr>
        <w:t>s</w:t>
      </w:r>
      <w:r w:rsidR="005E3831">
        <w:rPr>
          <w:rFonts w:ascii="Times New Roman" w:hAnsi="Times New Roman"/>
          <w:bCs/>
          <w:sz w:val="24"/>
          <w:szCs w:val="24"/>
        </w:rPr>
        <w:t xml:space="preserve">upport for these four settlements </w:t>
      </w:r>
      <w:r w:rsidR="00717431">
        <w:rPr>
          <w:rFonts w:ascii="Times New Roman" w:hAnsi="Times New Roman"/>
          <w:bCs/>
          <w:sz w:val="24"/>
          <w:szCs w:val="24"/>
        </w:rPr>
        <w:t xml:space="preserve">clearly </w:t>
      </w:r>
      <w:r w:rsidR="005E3831">
        <w:rPr>
          <w:rFonts w:ascii="Times New Roman" w:hAnsi="Times New Roman"/>
          <w:bCs/>
          <w:sz w:val="24"/>
          <w:szCs w:val="24"/>
        </w:rPr>
        <w:t xml:space="preserve">demonstrates </w:t>
      </w:r>
      <w:r w:rsidR="006E688B">
        <w:rPr>
          <w:rFonts w:ascii="Times New Roman" w:hAnsi="Times New Roman"/>
          <w:bCs/>
          <w:sz w:val="24"/>
          <w:szCs w:val="24"/>
        </w:rPr>
        <w:t>that settling</w:t>
      </w:r>
      <w:r w:rsidR="005E3831" w:rsidRPr="005E3831">
        <w:rPr>
          <w:rFonts w:ascii="Times New Roman" w:hAnsi="Times New Roman"/>
          <w:bCs/>
          <w:sz w:val="24"/>
          <w:szCs w:val="24"/>
        </w:rPr>
        <w:t xml:space="preserve"> Indian water rights disputes</w:t>
      </w:r>
      <w:r w:rsidR="006E688B">
        <w:rPr>
          <w:rFonts w:ascii="Times New Roman" w:hAnsi="Times New Roman"/>
          <w:bCs/>
          <w:sz w:val="24"/>
          <w:szCs w:val="24"/>
        </w:rPr>
        <w:t xml:space="preserve"> is a high priority for this Administration</w:t>
      </w:r>
      <w:r w:rsidR="005E3831" w:rsidRPr="005E3831">
        <w:rPr>
          <w:rFonts w:ascii="Times New Roman" w:hAnsi="Times New Roman"/>
          <w:bCs/>
          <w:sz w:val="24"/>
          <w:szCs w:val="24"/>
        </w:rPr>
        <w:t xml:space="preserve"> and </w:t>
      </w:r>
      <w:r w:rsidR="006E688B">
        <w:rPr>
          <w:rFonts w:ascii="Times New Roman" w:hAnsi="Times New Roman"/>
          <w:bCs/>
          <w:sz w:val="24"/>
          <w:szCs w:val="24"/>
        </w:rPr>
        <w:t xml:space="preserve">confirms that we </w:t>
      </w:r>
      <w:r w:rsidR="00936C42">
        <w:rPr>
          <w:rFonts w:ascii="Times New Roman" w:hAnsi="Times New Roman"/>
          <w:bCs/>
          <w:sz w:val="24"/>
          <w:szCs w:val="24"/>
        </w:rPr>
        <w:t>would</w:t>
      </w:r>
      <w:r w:rsidR="00936C42" w:rsidRPr="005E3831">
        <w:rPr>
          <w:rFonts w:ascii="Times New Roman" w:hAnsi="Times New Roman"/>
          <w:bCs/>
          <w:sz w:val="24"/>
          <w:szCs w:val="24"/>
        </w:rPr>
        <w:t xml:space="preserve"> </w:t>
      </w:r>
      <w:r w:rsidR="005E3831" w:rsidRPr="005E3831">
        <w:rPr>
          <w:rFonts w:ascii="Times New Roman" w:hAnsi="Times New Roman"/>
          <w:bCs/>
          <w:sz w:val="24"/>
          <w:szCs w:val="24"/>
        </w:rPr>
        <w:t>support Indian water settlements that result from negotiations with all stakeholders including the Federal government, and that come with a reasonable Federal price tag and good cost share contributions from states and other benefitting parties</w:t>
      </w:r>
      <w:r w:rsidR="005E3831">
        <w:rPr>
          <w:rFonts w:ascii="Times New Roman" w:hAnsi="Times New Roman"/>
          <w:bCs/>
          <w:sz w:val="24"/>
          <w:szCs w:val="24"/>
        </w:rPr>
        <w:t>.</w:t>
      </w:r>
    </w:p>
    <w:p w:rsidR="00CD00D7" w:rsidRPr="00024673" w:rsidRDefault="00936C42" w:rsidP="00C47151">
      <w:pPr>
        <w:pStyle w:val="PlainText"/>
        <w:autoSpaceDE w:val="0"/>
        <w:autoSpaceDN w:val="0"/>
        <w:spacing w:after="240"/>
        <w:jc w:val="both"/>
      </w:pPr>
      <w:r>
        <w:rPr>
          <w:rFonts w:ascii="Times New Roman" w:hAnsi="Times New Roman"/>
          <w:sz w:val="24"/>
          <w:szCs w:val="24"/>
        </w:rPr>
        <w:t>Effective implementation of the</w:t>
      </w:r>
      <w:r w:rsidRPr="00CD00D7">
        <w:rPr>
          <w:rFonts w:ascii="Times New Roman" w:hAnsi="Times New Roman"/>
          <w:sz w:val="24"/>
          <w:szCs w:val="24"/>
        </w:rPr>
        <w:t xml:space="preserve"> </w:t>
      </w:r>
      <w:r w:rsidR="00CD00D7" w:rsidRPr="00CD00D7">
        <w:rPr>
          <w:rFonts w:ascii="Times New Roman" w:hAnsi="Times New Roman"/>
          <w:sz w:val="24"/>
          <w:szCs w:val="24"/>
        </w:rPr>
        <w:t xml:space="preserve">four settlements </w:t>
      </w:r>
      <w:r w:rsidR="005E3831">
        <w:rPr>
          <w:rFonts w:ascii="Times New Roman" w:hAnsi="Times New Roman"/>
          <w:sz w:val="24"/>
          <w:szCs w:val="24"/>
        </w:rPr>
        <w:t xml:space="preserve">in the Claims Resolution Act </w:t>
      </w:r>
      <w:r w:rsidR="00CD00D7" w:rsidRPr="00CD00D7">
        <w:rPr>
          <w:rFonts w:ascii="Times New Roman" w:hAnsi="Times New Roman"/>
          <w:sz w:val="24"/>
          <w:szCs w:val="24"/>
        </w:rPr>
        <w:t xml:space="preserve">will </w:t>
      </w:r>
      <w:r>
        <w:rPr>
          <w:rFonts w:ascii="Times New Roman" w:hAnsi="Times New Roman"/>
          <w:sz w:val="24"/>
          <w:szCs w:val="24"/>
        </w:rPr>
        <w:t>support the maintenance of</w:t>
      </w:r>
      <w:r w:rsidRPr="00CD00D7">
        <w:rPr>
          <w:rFonts w:ascii="Times New Roman" w:hAnsi="Times New Roman"/>
          <w:sz w:val="24"/>
          <w:szCs w:val="24"/>
        </w:rPr>
        <w:t xml:space="preserve"> </w:t>
      </w:r>
      <w:r w:rsidR="00CD00D7" w:rsidRPr="00CD00D7">
        <w:rPr>
          <w:rFonts w:ascii="Times New Roman" w:hAnsi="Times New Roman"/>
          <w:sz w:val="24"/>
          <w:szCs w:val="24"/>
        </w:rPr>
        <w:t xml:space="preserve">permanent water supplies and </w:t>
      </w:r>
      <w:r>
        <w:rPr>
          <w:rFonts w:ascii="Times New Roman" w:hAnsi="Times New Roman"/>
          <w:sz w:val="24"/>
          <w:szCs w:val="24"/>
        </w:rPr>
        <w:t xml:space="preserve">enhance </w:t>
      </w:r>
      <w:r w:rsidR="00CD00D7" w:rsidRPr="00CD00D7">
        <w:rPr>
          <w:rFonts w:ascii="Times New Roman" w:hAnsi="Times New Roman"/>
          <w:sz w:val="24"/>
          <w:szCs w:val="24"/>
        </w:rPr>
        <w:t xml:space="preserve">economic security for five Pueblos in New Mexico, the Crow Tribe of Montana, and the White Mountain Apache Tribe of Arizona. The agreements enable </w:t>
      </w:r>
      <w:r w:rsidR="00F1024D">
        <w:rPr>
          <w:rFonts w:ascii="Times New Roman" w:hAnsi="Times New Roman"/>
          <w:sz w:val="24"/>
          <w:szCs w:val="24"/>
        </w:rPr>
        <w:t xml:space="preserve">the </w:t>
      </w:r>
      <w:r w:rsidR="00CD00D7" w:rsidRPr="00CD00D7">
        <w:rPr>
          <w:rFonts w:ascii="Times New Roman" w:hAnsi="Times New Roman"/>
          <w:sz w:val="24"/>
          <w:szCs w:val="24"/>
        </w:rPr>
        <w:t xml:space="preserve">construction and improvement of </w:t>
      </w:r>
      <w:r w:rsidR="00D430C6">
        <w:rPr>
          <w:rFonts w:ascii="Times New Roman" w:hAnsi="Times New Roman"/>
          <w:sz w:val="24"/>
          <w:szCs w:val="24"/>
        </w:rPr>
        <w:t xml:space="preserve">domestic </w:t>
      </w:r>
      <w:r w:rsidR="00F1024D" w:rsidRPr="00CD00D7">
        <w:rPr>
          <w:rFonts w:ascii="Times New Roman" w:hAnsi="Times New Roman"/>
          <w:sz w:val="24"/>
          <w:szCs w:val="24"/>
        </w:rPr>
        <w:t xml:space="preserve">reservation </w:t>
      </w:r>
      <w:r w:rsidR="00CD00D7" w:rsidRPr="00CD00D7">
        <w:rPr>
          <w:rFonts w:ascii="Times New Roman" w:hAnsi="Times New Roman"/>
          <w:sz w:val="24"/>
          <w:szCs w:val="24"/>
        </w:rPr>
        <w:t xml:space="preserve">water systems, irrigation projects, </w:t>
      </w:r>
      <w:r w:rsidR="003253EF">
        <w:rPr>
          <w:rFonts w:ascii="Times New Roman" w:hAnsi="Times New Roman"/>
          <w:sz w:val="24"/>
          <w:szCs w:val="24"/>
        </w:rPr>
        <w:t xml:space="preserve">and </w:t>
      </w:r>
      <w:r w:rsidR="00CD00D7" w:rsidRPr="00CD00D7">
        <w:rPr>
          <w:rFonts w:ascii="Times New Roman" w:hAnsi="Times New Roman"/>
          <w:sz w:val="24"/>
          <w:szCs w:val="24"/>
        </w:rPr>
        <w:t>a regional multi-</w:t>
      </w:r>
      <w:r>
        <w:rPr>
          <w:rFonts w:ascii="Times New Roman" w:hAnsi="Times New Roman"/>
          <w:sz w:val="24"/>
          <w:szCs w:val="24"/>
        </w:rPr>
        <w:t>P</w:t>
      </w:r>
      <w:r w:rsidRPr="00CD00D7">
        <w:rPr>
          <w:rFonts w:ascii="Times New Roman" w:hAnsi="Times New Roman"/>
          <w:sz w:val="24"/>
          <w:szCs w:val="24"/>
        </w:rPr>
        <w:t xml:space="preserve">ueblo </w:t>
      </w:r>
      <w:r w:rsidR="00D430C6">
        <w:rPr>
          <w:rFonts w:ascii="Times New Roman" w:hAnsi="Times New Roman"/>
          <w:sz w:val="24"/>
          <w:szCs w:val="24"/>
        </w:rPr>
        <w:t xml:space="preserve">domestic </w:t>
      </w:r>
      <w:r w:rsidR="00CD00D7" w:rsidRPr="00CD00D7">
        <w:rPr>
          <w:rFonts w:ascii="Times New Roman" w:hAnsi="Times New Roman"/>
          <w:sz w:val="24"/>
          <w:szCs w:val="24"/>
        </w:rPr>
        <w:t xml:space="preserve">water system, and </w:t>
      </w:r>
      <w:r w:rsidR="003253EF">
        <w:rPr>
          <w:rFonts w:ascii="Times New Roman" w:hAnsi="Times New Roman"/>
          <w:sz w:val="24"/>
          <w:szCs w:val="24"/>
        </w:rPr>
        <w:t xml:space="preserve">also </w:t>
      </w:r>
      <w:r w:rsidR="00D430C6">
        <w:rPr>
          <w:rFonts w:ascii="Times New Roman" w:hAnsi="Times New Roman"/>
          <w:sz w:val="24"/>
          <w:szCs w:val="24"/>
        </w:rPr>
        <w:t xml:space="preserve">will </w:t>
      </w:r>
      <w:r w:rsidR="00CD00D7" w:rsidRPr="00CD00D7">
        <w:rPr>
          <w:rFonts w:ascii="Times New Roman" w:hAnsi="Times New Roman"/>
          <w:sz w:val="24"/>
          <w:szCs w:val="24"/>
        </w:rPr>
        <w:t>codify water-sharing arrangements bet</w:t>
      </w:r>
      <w:r w:rsidR="00236FB6">
        <w:rPr>
          <w:rFonts w:ascii="Times New Roman" w:hAnsi="Times New Roman"/>
          <w:sz w:val="24"/>
          <w:szCs w:val="24"/>
        </w:rPr>
        <w:t>ween Indian and neighboring com</w:t>
      </w:r>
      <w:r w:rsidR="00CD00D7" w:rsidRPr="00CD00D7">
        <w:rPr>
          <w:rFonts w:ascii="Times New Roman" w:hAnsi="Times New Roman"/>
          <w:sz w:val="24"/>
          <w:szCs w:val="24"/>
        </w:rPr>
        <w:t>munities.  These four settlements</w:t>
      </w:r>
      <w:r>
        <w:rPr>
          <w:rFonts w:ascii="Times New Roman" w:hAnsi="Times New Roman"/>
          <w:sz w:val="24"/>
          <w:szCs w:val="24"/>
        </w:rPr>
        <w:t xml:space="preserve"> intend to</w:t>
      </w:r>
      <w:r w:rsidR="00CD00D7" w:rsidRPr="00CD00D7">
        <w:rPr>
          <w:rFonts w:ascii="Times New Roman" w:hAnsi="Times New Roman"/>
          <w:sz w:val="24"/>
          <w:szCs w:val="24"/>
        </w:rPr>
        <w:t xml:space="preserve"> </w:t>
      </w:r>
      <w:r w:rsidR="00D430C6">
        <w:rPr>
          <w:rFonts w:ascii="Times New Roman" w:hAnsi="Times New Roman"/>
          <w:sz w:val="24"/>
          <w:szCs w:val="24"/>
        </w:rPr>
        <w:t>usher in</w:t>
      </w:r>
      <w:r w:rsidR="00CD00D7" w:rsidRPr="00CD00D7">
        <w:rPr>
          <w:rFonts w:ascii="Times New Roman" w:hAnsi="Times New Roman"/>
          <w:sz w:val="24"/>
          <w:szCs w:val="24"/>
        </w:rPr>
        <w:t xml:space="preserve"> </w:t>
      </w:r>
      <w:r w:rsidR="00FB1684">
        <w:rPr>
          <w:rFonts w:ascii="Times New Roman" w:hAnsi="Times New Roman"/>
          <w:sz w:val="24"/>
          <w:szCs w:val="24"/>
        </w:rPr>
        <w:t xml:space="preserve">a </w:t>
      </w:r>
      <w:r w:rsidR="00CD00D7" w:rsidRPr="00CD00D7">
        <w:rPr>
          <w:rFonts w:ascii="Times New Roman" w:hAnsi="Times New Roman"/>
          <w:color w:val="000000"/>
          <w:sz w:val="24"/>
          <w:szCs w:val="24"/>
        </w:rPr>
        <w:t xml:space="preserve">new chapter on water in these regions - one marked by certainty, </w:t>
      </w:r>
      <w:r w:rsidR="00FB1684">
        <w:rPr>
          <w:rFonts w:ascii="Times New Roman" w:hAnsi="Times New Roman"/>
          <w:color w:val="000000"/>
          <w:sz w:val="24"/>
          <w:szCs w:val="24"/>
        </w:rPr>
        <w:t>harmony,</w:t>
      </w:r>
      <w:r w:rsidR="00FB1684" w:rsidRPr="00CD00D7">
        <w:rPr>
          <w:rFonts w:ascii="Times New Roman" w:hAnsi="Times New Roman"/>
          <w:color w:val="000000"/>
          <w:sz w:val="24"/>
          <w:szCs w:val="24"/>
        </w:rPr>
        <w:t xml:space="preserve"> </w:t>
      </w:r>
      <w:r w:rsidR="00CD00D7" w:rsidRPr="00CD00D7">
        <w:rPr>
          <w:rFonts w:ascii="Times New Roman" w:hAnsi="Times New Roman"/>
          <w:color w:val="000000"/>
          <w:sz w:val="24"/>
          <w:szCs w:val="24"/>
        </w:rPr>
        <w:t>and economic activity.</w:t>
      </w:r>
      <w:r w:rsidR="00CD00D7">
        <w:rPr>
          <w:rFonts w:ascii="Times New Roman" w:hAnsi="Times New Roman"/>
          <w:color w:val="000000"/>
          <w:sz w:val="24"/>
          <w:szCs w:val="24"/>
        </w:rPr>
        <w:t xml:space="preserve">  </w:t>
      </w:r>
    </w:p>
    <w:p w:rsidR="00CD00D7" w:rsidRDefault="00CD00D7" w:rsidP="00C47151">
      <w:pPr>
        <w:pStyle w:val="PlainText"/>
        <w:autoSpaceDE w:val="0"/>
        <w:autoSpaceDN w:val="0"/>
        <w:spacing w:after="240"/>
        <w:jc w:val="both"/>
        <w:rPr>
          <w:rFonts w:ascii="Times New Roman" w:hAnsi="Times New Roman"/>
          <w:color w:val="000000"/>
          <w:sz w:val="24"/>
          <w:szCs w:val="24"/>
        </w:rPr>
      </w:pPr>
      <w:r w:rsidRPr="00236FB6">
        <w:rPr>
          <w:rFonts w:ascii="Times New Roman" w:hAnsi="Times New Roman"/>
          <w:color w:val="000000"/>
          <w:sz w:val="24"/>
          <w:szCs w:val="24"/>
        </w:rPr>
        <w:t>In addition</w:t>
      </w:r>
      <w:r w:rsidR="00D430C6">
        <w:rPr>
          <w:rFonts w:ascii="Times New Roman" w:hAnsi="Times New Roman"/>
          <w:color w:val="000000"/>
          <w:sz w:val="24"/>
          <w:szCs w:val="24"/>
        </w:rPr>
        <w:t xml:space="preserve"> to its work to enact these four settlements</w:t>
      </w:r>
      <w:r w:rsidRPr="00236FB6">
        <w:rPr>
          <w:rFonts w:ascii="Times New Roman" w:hAnsi="Times New Roman"/>
          <w:color w:val="000000"/>
          <w:sz w:val="24"/>
          <w:szCs w:val="24"/>
        </w:rPr>
        <w:t>, this Administration</w:t>
      </w:r>
      <w:r w:rsidR="00225E54">
        <w:rPr>
          <w:rFonts w:ascii="Times New Roman" w:hAnsi="Times New Roman"/>
          <w:color w:val="000000"/>
          <w:sz w:val="24"/>
          <w:szCs w:val="24"/>
        </w:rPr>
        <w:t xml:space="preserve"> </w:t>
      </w:r>
      <w:r w:rsidR="000E2F9B">
        <w:rPr>
          <w:rFonts w:ascii="Times New Roman" w:hAnsi="Times New Roman"/>
          <w:color w:val="000000"/>
          <w:sz w:val="24"/>
          <w:szCs w:val="24"/>
        </w:rPr>
        <w:t xml:space="preserve">is working with the parties </w:t>
      </w:r>
      <w:r w:rsidR="00D615F7">
        <w:rPr>
          <w:rFonts w:ascii="Times New Roman" w:hAnsi="Times New Roman"/>
          <w:color w:val="000000"/>
          <w:sz w:val="24"/>
          <w:szCs w:val="24"/>
        </w:rPr>
        <w:t>to allow the</w:t>
      </w:r>
      <w:r w:rsidRPr="00236FB6">
        <w:rPr>
          <w:rFonts w:ascii="Times New Roman" w:hAnsi="Times New Roman"/>
          <w:color w:val="000000"/>
          <w:sz w:val="24"/>
          <w:szCs w:val="24"/>
        </w:rPr>
        <w:t xml:space="preserve"> releas</w:t>
      </w:r>
      <w:r w:rsidR="00D430C6">
        <w:rPr>
          <w:rFonts w:ascii="Times New Roman" w:hAnsi="Times New Roman"/>
          <w:color w:val="000000"/>
          <w:sz w:val="24"/>
          <w:szCs w:val="24"/>
        </w:rPr>
        <w:t>e</w:t>
      </w:r>
      <w:r w:rsidR="00225E54">
        <w:rPr>
          <w:rFonts w:ascii="Times New Roman" w:hAnsi="Times New Roman"/>
          <w:color w:val="000000"/>
          <w:sz w:val="24"/>
          <w:szCs w:val="24"/>
        </w:rPr>
        <w:t xml:space="preserve"> of</w:t>
      </w:r>
      <w:r w:rsidRPr="00236FB6">
        <w:rPr>
          <w:rFonts w:ascii="Times New Roman" w:hAnsi="Times New Roman"/>
          <w:color w:val="000000"/>
          <w:sz w:val="24"/>
          <w:szCs w:val="24"/>
        </w:rPr>
        <w:t xml:space="preserve"> $21 million in federal funding under the Soboba of Luiseño Indians Settlement Act, </w:t>
      </w:r>
      <w:r w:rsidR="00236FB6">
        <w:rPr>
          <w:rFonts w:ascii="Times New Roman" w:hAnsi="Times New Roman"/>
          <w:sz w:val="24"/>
          <w:szCs w:val="24"/>
        </w:rPr>
        <w:t>Pub. L. No</w:t>
      </w:r>
      <w:r w:rsidR="00236FB6" w:rsidRPr="00236FB6">
        <w:rPr>
          <w:rFonts w:ascii="Times New Roman" w:hAnsi="Times New Roman"/>
          <w:sz w:val="24"/>
          <w:szCs w:val="24"/>
        </w:rPr>
        <w:t xml:space="preserve">. 110-297 (July 31, 2008), </w:t>
      </w:r>
      <w:r w:rsidRPr="00CD00D7">
        <w:rPr>
          <w:rFonts w:ascii="Times New Roman" w:hAnsi="Times New Roman"/>
          <w:color w:val="000000"/>
          <w:sz w:val="24"/>
          <w:szCs w:val="24"/>
        </w:rPr>
        <w:t>marking the final step in an historic water rights settlement and fulfilling promises made to the Soboba Band and southern California communities when the Act was approved by Congress in 2008.  The implementation of the settlement is expected to stabilize water supplies in the region and enhance economic development opportunities for the Band and neighboring communities.</w:t>
      </w:r>
    </w:p>
    <w:p w:rsidR="002B2CE7" w:rsidRDefault="002B2CE7" w:rsidP="00F1024D">
      <w:pPr>
        <w:jc w:val="both"/>
        <w:rPr>
          <w:color w:val="000000"/>
        </w:rPr>
      </w:pPr>
      <w:r w:rsidRPr="002B2CE7">
        <w:rPr>
          <w:color w:val="000000"/>
        </w:rPr>
        <w:t>In March 2009, President Obama signed the Omnibus</w:t>
      </w:r>
      <w:r>
        <w:rPr>
          <w:color w:val="000000"/>
        </w:rPr>
        <w:t xml:space="preserve"> Public Lands Management Act, Pub. </w:t>
      </w:r>
      <w:r w:rsidRPr="002B2CE7">
        <w:rPr>
          <w:color w:val="000000"/>
        </w:rPr>
        <w:t xml:space="preserve">L. </w:t>
      </w:r>
      <w:r>
        <w:rPr>
          <w:color w:val="000000"/>
        </w:rPr>
        <w:t xml:space="preserve">No. </w:t>
      </w:r>
      <w:r w:rsidRPr="002B2CE7">
        <w:rPr>
          <w:color w:val="000000"/>
        </w:rPr>
        <w:t>111-11</w:t>
      </w:r>
      <w:r>
        <w:rPr>
          <w:color w:val="000000"/>
        </w:rPr>
        <w:t xml:space="preserve"> </w:t>
      </w:r>
      <w:r w:rsidRPr="00263879">
        <w:rPr>
          <w:color w:val="000000"/>
        </w:rPr>
        <w:t>(Mar. 30, 2009)</w:t>
      </w:r>
      <w:r w:rsidRPr="002B2CE7">
        <w:rPr>
          <w:color w:val="000000"/>
        </w:rPr>
        <w:t xml:space="preserve">, which included the Northwestern New Mexico Rural Water Projects Act that </w:t>
      </w:r>
      <w:r w:rsidR="00936C42">
        <w:rPr>
          <w:color w:val="000000"/>
        </w:rPr>
        <w:t>settles</w:t>
      </w:r>
      <w:r w:rsidR="00936C42" w:rsidRPr="002B2CE7">
        <w:rPr>
          <w:color w:val="000000"/>
        </w:rPr>
        <w:t xml:space="preserve"> </w:t>
      </w:r>
      <w:r w:rsidRPr="002B2CE7">
        <w:rPr>
          <w:color w:val="000000"/>
        </w:rPr>
        <w:t xml:space="preserve">the long standing water rights claims of the Navajo Nation within the San Juan River Basin in New Mexico.  The act authorizes the construction of the Navajo Gallup Water Supply Project which will bring a clean and sustainable water supply to the Navajo Nation, where an estimated 40-percent of residents are dependent upon hauling water for use in their homes, and will help to augment the City of Gallup's drinking water system, which is facing decreasing water supplies.  </w:t>
      </w:r>
      <w:r w:rsidRPr="002B2CE7">
        <w:rPr>
          <w:bCs/>
          <w:color w:val="000000"/>
        </w:rPr>
        <w:t xml:space="preserve">The Navajo-Gallup </w:t>
      </w:r>
      <w:r w:rsidR="00F1024D">
        <w:rPr>
          <w:bCs/>
          <w:color w:val="000000"/>
        </w:rPr>
        <w:t>Water Supply Project</w:t>
      </w:r>
      <w:r w:rsidR="00F1024D" w:rsidRPr="002B2CE7">
        <w:rPr>
          <w:bCs/>
          <w:color w:val="000000"/>
        </w:rPr>
        <w:t xml:space="preserve"> </w:t>
      </w:r>
      <w:r w:rsidRPr="002B2CE7">
        <w:rPr>
          <w:bCs/>
          <w:color w:val="000000"/>
        </w:rPr>
        <w:t xml:space="preserve">is a major component of the Navajo Nation’s water rights settlement with the State of New Mexico and was selected by the Administration as one of 14 infrastructure projects across the country to be expedited through the permitting and environmental review processes. </w:t>
      </w:r>
      <w:r w:rsidRPr="002B2CE7">
        <w:rPr>
          <w:color w:val="000000"/>
        </w:rPr>
        <w:t xml:space="preserve">The Bureau of Reclamation will initiate construction </w:t>
      </w:r>
      <w:r w:rsidR="00F1024D">
        <w:rPr>
          <w:color w:val="000000"/>
        </w:rPr>
        <w:t xml:space="preserve">of the project </w:t>
      </w:r>
      <w:r w:rsidRPr="002B2CE7">
        <w:rPr>
          <w:color w:val="000000"/>
        </w:rPr>
        <w:t>this spring.  The Navajo Gallup Water Supply Project will include the construction of two water treatment plants, 280 miles of pipeline, 24 pumping plants, and numerous water regulation and storage facilities. </w:t>
      </w:r>
    </w:p>
    <w:p w:rsidR="002B2CE7" w:rsidRPr="002B2CE7" w:rsidRDefault="002B2CE7" w:rsidP="002B2CE7">
      <w:pPr>
        <w:jc w:val="both"/>
        <w:rPr>
          <w:color w:val="000000"/>
        </w:rPr>
      </w:pPr>
    </w:p>
    <w:p w:rsidR="004A20EA" w:rsidRDefault="00F133F8" w:rsidP="00F133F8">
      <w:pPr>
        <w:widowControl w:val="0"/>
        <w:adjustRightInd w:val="0"/>
        <w:jc w:val="both"/>
        <w:rPr>
          <w:color w:val="000000"/>
        </w:rPr>
      </w:pPr>
      <w:r>
        <w:rPr>
          <w:color w:val="000000"/>
        </w:rPr>
        <w:t>Our work is not done</w:t>
      </w:r>
      <w:r w:rsidR="003253EF">
        <w:rPr>
          <w:color w:val="000000"/>
        </w:rPr>
        <w:t>,</w:t>
      </w:r>
      <w:r>
        <w:rPr>
          <w:color w:val="000000"/>
        </w:rPr>
        <w:t xml:space="preserve"> however</w:t>
      </w:r>
      <w:r w:rsidR="003253EF">
        <w:rPr>
          <w:color w:val="000000"/>
        </w:rPr>
        <w:t>,</w:t>
      </w:r>
      <w:r>
        <w:rPr>
          <w:color w:val="000000"/>
        </w:rPr>
        <w:t xml:space="preserve"> and we continue to be active participants in 16 additional negotiations</w:t>
      </w:r>
      <w:r w:rsidR="003253EF">
        <w:rPr>
          <w:color w:val="000000"/>
        </w:rPr>
        <w:t xml:space="preserve">.  </w:t>
      </w:r>
      <w:proofErr w:type="gramStart"/>
      <w:r w:rsidR="002B2CE7">
        <w:rPr>
          <w:color w:val="000000"/>
        </w:rPr>
        <w:t xml:space="preserve">Two </w:t>
      </w:r>
      <w:r w:rsidR="003253EF">
        <w:rPr>
          <w:color w:val="000000"/>
        </w:rPr>
        <w:t>of these</w:t>
      </w:r>
      <w:r>
        <w:rPr>
          <w:color w:val="000000"/>
        </w:rPr>
        <w:t xml:space="preserve">, Blackfeet </w:t>
      </w:r>
      <w:r w:rsidR="00CC0C19">
        <w:rPr>
          <w:color w:val="000000"/>
        </w:rPr>
        <w:t xml:space="preserve">(S. 399/H.R. 3301) </w:t>
      </w:r>
      <w:r>
        <w:rPr>
          <w:color w:val="000000"/>
        </w:rPr>
        <w:t>and the Navajo-Hopi Little Colorado River Water Settlement</w:t>
      </w:r>
      <w:r w:rsidR="00CC0C19">
        <w:rPr>
          <w:color w:val="000000"/>
        </w:rPr>
        <w:t xml:space="preserve"> (S. 2109/H.R. 4067)</w:t>
      </w:r>
      <w:r>
        <w:rPr>
          <w:color w:val="000000"/>
        </w:rPr>
        <w:t>, are the subject of pending legislation.</w:t>
      </w:r>
      <w:proofErr w:type="gramEnd"/>
      <w:r w:rsidR="00CC0C19">
        <w:rPr>
          <w:color w:val="000000"/>
        </w:rPr>
        <w:t xml:space="preserve">  </w:t>
      </w:r>
      <w:r>
        <w:rPr>
          <w:color w:val="000000"/>
        </w:rPr>
        <w:t xml:space="preserve">Both the Blackfeet and Navajo-Hopi bills </w:t>
      </w:r>
      <w:r w:rsidRPr="0093476D">
        <w:rPr>
          <w:color w:val="000000"/>
        </w:rPr>
        <w:t xml:space="preserve">are the products of a great deal of effort by </w:t>
      </w:r>
      <w:r>
        <w:rPr>
          <w:color w:val="000000"/>
        </w:rPr>
        <w:t>a multitude</w:t>
      </w:r>
      <w:r w:rsidRPr="0093476D">
        <w:rPr>
          <w:color w:val="000000"/>
        </w:rPr>
        <w:t xml:space="preserve"> </w:t>
      </w:r>
      <w:r>
        <w:rPr>
          <w:color w:val="000000"/>
        </w:rPr>
        <w:t xml:space="preserve">of </w:t>
      </w:r>
      <w:r w:rsidRPr="0093476D">
        <w:rPr>
          <w:color w:val="000000"/>
        </w:rPr>
        <w:lastRenderedPageBreak/>
        <w:t>part</w:t>
      </w:r>
      <w:r>
        <w:rPr>
          <w:color w:val="000000"/>
        </w:rPr>
        <w:t xml:space="preserve">ies and reflect a desire by the </w:t>
      </w:r>
      <w:r w:rsidRPr="0093476D">
        <w:rPr>
          <w:color w:val="000000"/>
        </w:rPr>
        <w:t>people of Montana</w:t>
      </w:r>
      <w:r>
        <w:rPr>
          <w:color w:val="000000"/>
        </w:rPr>
        <w:t xml:space="preserve"> and Arizona</w:t>
      </w:r>
      <w:r w:rsidRPr="0093476D">
        <w:rPr>
          <w:color w:val="000000"/>
        </w:rPr>
        <w:t>, Indian and non-Indian, to settle their differences through negotiation rather than litigation.  This Administration shares that goal</w:t>
      </w:r>
      <w:r>
        <w:rPr>
          <w:color w:val="000000"/>
        </w:rPr>
        <w:t xml:space="preserve"> </w:t>
      </w:r>
      <w:r w:rsidRPr="0093476D">
        <w:rPr>
          <w:color w:val="000000"/>
        </w:rPr>
        <w:t>and</w:t>
      </w:r>
      <w:r>
        <w:rPr>
          <w:color w:val="000000"/>
        </w:rPr>
        <w:t xml:space="preserve"> we are curren</w:t>
      </w:r>
      <w:r w:rsidR="00CC0C19">
        <w:rPr>
          <w:color w:val="000000"/>
        </w:rPr>
        <w:t>tly working at the</w:t>
      </w:r>
      <w:r>
        <w:rPr>
          <w:color w:val="000000"/>
        </w:rPr>
        <w:t xml:space="preserve"> highest levels within the Department to craft settlement provisions that the Administration will</w:t>
      </w:r>
      <w:r w:rsidRPr="0093476D">
        <w:rPr>
          <w:color w:val="000000"/>
        </w:rPr>
        <w:t xml:space="preserve"> </w:t>
      </w:r>
      <w:r w:rsidR="003253EF">
        <w:rPr>
          <w:color w:val="000000"/>
        </w:rPr>
        <w:t xml:space="preserve">be </w:t>
      </w:r>
      <w:r w:rsidRPr="0093476D">
        <w:rPr>
          <w:color w:val="000000"/>
        </w:rPr>
        <w:t>able to support</w:t>
      </w:r>
      <w:r>
        <w:rPr>
          <w:color w:val="000000"/>
        </w:rPr>
        <w:t>.</w:t>
      </w:r>
    </w:p>
    <w:p w:rsidR="00F133F8" w:rsidRPr="00BD165F" w:rsidRDefault="00F133F8" w:rsidP="00F133F8">
      <w:pPr>
        <w:widowControl w:val="0"/>
        <w:adjustRightInd w:val="0"/>
        <w:jc w:val="both"/>
        <w:rPr>
          <w:color w:val="000000"/>
        </w:rPr>
      </w:pPr>
      <w:r w:rsidRPr="0093476D">
        <w:rPr>
          <w:color w:val="000000"/>
        </w:rPr>
        <w:t xml:space="preserve"> </w:t>
      </w:r>
    </w:p>
    <w:p w:rsidR="0081622B" w:rsidRPr="00342B44" w:rsidRDefault="00107970" w:rsidP="00E73CCF">
      <w:pPr>
        <w:pStyle w:val="POBBodyText"/>
        <w:numPr>
          <w:ilvl w:val="0"/>
          <w:numId w:val="5"/>
        </w:numPr>
        <w:tabs>
          <w:tab w:val="left" w:pos="900"/>
        </w:tabs>
        <w:spacing w:line="240" w:lineRule="auto"/>
        <w:rPr>
          <w:rFonts w:ascii="Times New Roman" w:hAnsi="Times New Roman"/>
          <w:b/>
          <w:sz w:val="24"/>
          <w:szCs w:val="24"/>
        </w:rPr>
      </w:pPr>
      <w:r>
        <w:rPr>
          <w:rFonts w:ascii="Times New Roman" w:hAnsi="Times New Roman"/>
          <w:b/>
          <w:sz w:val="24"/>
          <w:szCs w:val="24"/>
        </w:rPr>
        <w:t>The Impetus for Water Rights Settlements.</w:t>
      </w:r>
    </w:p>
    <w:p w:rsidR="00342B44" w:rsidRDefault="00342B44" w:rsidP="00796F45">
      <w:pPr>
        <w:pStyle w:val="POBBodyText"/>
        <w:tabs>
          <w:tab w:val="left" w:pos="900"/>
        </w:tabs>
        <w:spacing w:line="240" w:lineRule="auto"/>
        <w:rPr>
          <w:rFonts w:ascii="Times New Roman" w:hAnsi="Times New Roman"/>
          <w:sz w:val="24"/>
          <w:szCs w:val="24"/>
        </w:rPr>
      </w:pPr>
    </w:p>
    <w:p w:rsidR="00342B44" w:rsidRDefault="00342B44" w:rsidP="00342B44">
      <w:pPr>
        <w:jc w:val="both"/>
      </w:pPr>
      <w:r w:rsidRPr="0093476D">
        <w:t>Disputes over Indian water rights are expensive and divisive.  In many instances, Indian water rights disputes, which can</w:t>
      </w:r>
      <w:r w:rsidR="00225E54">
        <w:t xml:space="preserve"> date back 100 years or more</w:t>
      </w:r>
      <w:r w:rsidRPr="0093476D">
        <w:t xml:space="preserve">, are a tangible barrier to </w:t>
      </w:r>
      <w:r w:rsidR="00936C42">
        <w:t>socio-economic development</w:t>
      </w:r>
      <w:r w:rsidR="00936C42" w:rsidRPr="0093476D">
        <w:t xml:space="preserve"> </w:t>
      </w:r>
      <w:r w:rsidRPr="0093476D">
        <w:t>for tribes, and significantly hinder the management of water resources.  Settlements of Indian water rights disputes</w:t>
      </w:r>
      <w:r w:rsidR="00936C42">
        <w:t xml:space="preserve"> can</w:t>
      </w:r>
      <w:r w:rsidRPr="0093476D">
        <w:t xml:space="preserve"> break down these barriers and help create conditions that improve water resources management by providing certainty as to the rights of </w:t>
      </w:r>
      <w:r w:rsidR="00936C42">
        <w:t xml:space="preserve">major </w:t>
      </w:r>
      <w:r w:rsidRPr="0093476D">
        <w:t xml:space="preserve">water </w:t>
      </w:r>
      <w:r w:rsidR="00936C42">
        <w:t xml:space="preserve">rights holders </w:t>
      </w:r>
      <w:r w:rsidRPr="0093476D">
        <w:t>who are parties to the dispute</w:t>
      </w:r>
      <w:r w:rsidR="00FB1684">
        <w:t>s</w:t>
      </w:r>
      <w:r w:rsidRPr="0093476D">
        <w:t xml:space="preserve">.  That certainty provides opportunities for economic development, improves relationships, and encourages collaboration among neighboring communities.  This has been proven time and again throughout the West as the United States has pursued a policy of settling Indian water rights disputes whenever possible.  Indian water rights settlements are also consistent with the </w:t>
      </w:r>
      <w:r w:rsidR="00786F42">
        <w:t xml:space="preserve">general </w:t>
      </w:r>
      <w:r w:rsidRPr="0093476D">
        <w:t xml:space="preserve">Federal trust responsibility to American Indians and with Federal policy promoting Indian self-determination and economic self-sufficiency.  For these reasons and more, for </w:t>
      </w:r>
      <w:r w:rsidR="00936C42">
        <w:t>more than</w:t>
      </w:r>
      <w:r w:rsidR="00936C42" w:rsidRPr="0093476D">
        <w:t xml:space="preserve"> </w:t>
      </w:r>
      <w:r w:rsidRPr="0093476D">
        <w:t>30 years, federally recognized Indian tribes, states, local parties, and the Federal government have acknowledged that negotiated Indian water rights settlements are preferable to protracted litigation over Indian water rights claims.</w:t>
      </w:r>
    </w:p>
    <w:p w:rsidR="00342B44" w:rsidRPr="00F57691" w:rsidRDefault="00342B44" w:rsidP="00342B44">
      <w:pPr>
        <w:pStyle w:val="NormalWeb"/>
        <w:spacing w:before="0" w:beforeAutospacing="0" w:after="0" w:afterAutospacing="0"/>
        <w:jc w:val="both"/>
        <w:rPr>
          <w:rFonts w:cs="Arial"/>
          <w:color w:val="000000"/>
          <w:szCs w:val="19"/>
        </w:rPr>
      </w:pPr>
      <w:r w:rsidRPr="00F57691">
        <w:rPr>
          <w:color w:val="000000"/>
        </w:rPr>
        <w:t> </w:t>
      </w:r>
    </w:p>
    <w:p w:rsidR="00342B44" w:rsidRPr="00F57691" w:rsidRDefault="00342B44" w:rsidP="00342B44">
      <w:pPr>
        <w:pStyle w:val="NormalWeb"/>
        <w:spacing w:before="0" w:beforeAutospacing="0" w:after="0" w:afterAutospacing="0"/>
        <w:jc w:val="both"/>
        <w:rPr>
          <w:color w:val="000000"/>
        </w:rPr>
      </w:pPr>
      <w:r w:rsidRPr="00F57691">
        <w:rPr>
          <w:color w:val="000000"/>
        </w:rPr>
        <w:t xml:space="preserve">Indian water rights are especially valuable in the West for </w:t>
      </w:r>
      <w:r w:rsidR="00225E54">
        <w:rPr>
          <w:color w:val="000000"/>
        </w:rPr>
        <w:t>many</w:t>
      </w:r>
      <w:r w:rsidRPr="00F57691">
        <w:rPr>
          <w:color w:val="000000"/>
        </w:rPr>
        <w:t xml:space="preserve"> </w:t>
      </w:r>
      <w:r w:rsidR="003253EF">
        <w:rPr>
          <w:color w:val="000000"/>
        </w:rPr>
        <w:t xml:space="preserve">other </w:t>
      </w:r>
      <w:r w:rsidRPr="00F57691">
        <w:rPr>
          <w:color w:val="000000"/>
        </w:rPr>
        <w:t>reasons</w:t>
      </w:r>
      <w:r w:rsidR="003253EF">
        <w:rPr>
          <w:color w:val="000000"/>
        </w:rPr>
        <w:t>,</w:t>
      </w:r>
      <w:r w:rsidR="00225E54">
        <w:rPr>
          <w:color w:val="000000"/>
        </w:rPr>
        <w:t xml:space="preserve"> including the fact that</w:t>
      </w:r>
      <w:r w:rsidRPr="00F57691">
        <w:rPr>
          <w:color w:val="000000"/>
        </w:rPr>
        <w:t xml:space="preserve"> Indian </w:t>
      </w:r>
      <w:r w:rsidR="000E2F9B">
        <w:rPr>
          <w:color w:val="000000"/>
        </w:rPr>
        <w:t xml:space="preserve">reserved </w:t>
      </w:r>
      <w:r w:rsidRPr="00F57691">
        <w:rPr>
          <w:color w:val="000000"/>
        </w:rPr>
        <w:t xml:space="preserve">water rights cannot be lost due to nonuse, and Indian water rights have a priority date no later than the date of the creation of </w:t>
      </w:r>
      <w:r w:rsidR="004A20EA">
        <w:rPr>
          <w:color w:val="000000"/>
        </w:rPr>
        <w:t>the</w:t>
      </w:r>
      <w:r w:rsidRPr="00F57691">
        <w:rPr>
          <w:color w:val="000000"/>
        </w:rPr>
        <w:t xml:space="preserve"> reservation</w:t>
      </w:r>
      <w:r w:rsidR="000E2F9B">
        <w:rPr>
          <w:color w:val="000000"/>
        </w:rPr>
        <w:t xml:space="preserve"> with which they are associated</w:t>
      </w:r>
      <w:r w:rsidRPr="00F57691">
        <w:rPr>
          <w:color w:val="000000"/>
        </w:rPr>
        <w:t xml:space="preserve">.  Because most reservations were established prior to the settlement of the West by non-Indians, even very senior non-Indian water rights are often junior in priority to Indian water rights.  Because </w:t>
      </w:r>
      <w:r w:rsidR="000E2F9B">
        <w:rPr>
          <w:color w:val="000000"/>
        </w:rPr>
        <w:t xml:space="preserve">most </w:t>
      </w:r>
      <w:r w:rsidRPr="00F57691">
        <w:rPr>
          <w:color w:val="000000"/>
        </w:rPr>
        <w:t xml:space="preserve">tribes have lacked resources to develop their own domestic water supply systems, irrigated agriculture or other industry to make use of their water resources, their ability to use their water rights has been limited.  As a result, </w:t>
      </w:r>
      <w:r w:rsidR="00225E54">
        <w:rPr>
          <w:color w:val="000000"/>
        </w:rPr>
        <w:t xml:space="preserve">Indian </w:t>
      </w:r>
      <w:r w:rsidRPr="00F57691">
        <w:rPr>
          <w:color w:val="000000"/>
        </w:rPr>
        <w:t xml:space="preserve">water </w:t>
      </w:r>
      <w:r w:rsidR="00107970">
        <w:rPr>
          <w:color w:val="000000"/>
        </w:rPr>
        <w:t xml:space="preserve">rights </w:t>
      </w:r>
      <w:r w:rsidR="00225E54">
        <w:rPr>
          <w:color w:val="000000"/>
        </w:rPr>
        <w:t>have</w:t>
      </w:r>
      <w:r w:rsidRPr="00F57691">
        <w:rPr>
          <w:color w:val="000000"/>
        </w:rPr>
        <w:t xml:space="preserve"> often been used for years by neighboring non-Indian interests and communities</w:t>
      </w:r>
      <w:r w:rsidR="00225E54">
        <w:rPr>
          <w:color w:val="000000"/>
        </w:rPr>
        <w:t xml:space="preserve"> with the unfortunate effect </w:t>
      </w:r>
      <w:r w:rsidR="00CB2085">
        <w:rPr>
          <w:color w:val="000000"/>
        </w:rPr>
        <w:t xml:space="preserve">of reliance </w:t>
      </w:r>
      <w:r w:rsidR="003253EF">
        <w:rPr>
          <w:color w:val="000000"/>
        </w:rPr>
        <w:t xml:space="preserve">by non-Indians </w:t>
      </w:r>
      <w:r w:rsidR="00CB2085">
        <w:rPr>
          <w:color w:val="000000"/>
        </w:rPr>
        <w:t>on water</w:t>
      </w:r>
      <w:r w:rsidR="003253EF">
        <w:rPr>
          <w:color w:val="000000"/>
        </w:rPr>
        <w:t xml:space="preserve"> to which Indians have the senior rights.</w:t>
      </w:r>
    </w:p>
    <w:p w:rsidR="00342B44" w:rsidRPr="00F57691" w:rsidRDefault="00342B44" w:rsidP="00342B44">
      <w:pPr>
        <w:pStyle w:val="NormalWeb"/>
        <w:spacing w:before="0" w:beforeAutospacing="0" w:after="0" w:afterAutospacing="0"/>
        <w:jc w:val="both"/>
        <w:rPr>
          <w:rFonts w:cs="Arial"/>
          <w:color w:val="000000"/>
          <w:szCs w:val="19"/>
        </w:rPr>
      </w:pPr>
      <w:r w:rsidRPr="00F57691">
        <w:rPr>
          <w:color w:val="000000"/>
        </w:rPr>
        <w:t xml:space="preserve">  </w:t>
      </w:r>
    </w:p>
    <w:p w:rsidR="00C265D3" w:rsidRDefault="00CB2085" w:rsidP="00342B44">
      <w:pPr>
        <w:pStyle w:val="NormalWeb"/>
        <w:spacing w:before="0" w:beforeAutospacing="0" w:after="0" w:afterAutospacing="0"/>
        <w:jc w:val="both"/>
        <w:rPr>
          <w:color w:val="000000"/>
        </w:rPr>
      </w:pPr>
      <w:r>
        <w:rPr>
          <w:color w:val="000000"/>
        </w:rPr>
        <w:t xml:space="preserve">Simply litigating title to water rights has not proven to be an </w:t>
      </w:r>
      <w:r w:rsidR="00936C42">
        <w:rPr>
          <w:color w:val="000000"/>
        </w:rPr>
        <w:t xml:space="preserve">effective </w:t>
      </w:r>
      <w:r>
        <w:rPr>
          <w:color w:val="000000"/>
        </w:rPr>
        <w:t xml:space="preserve">solution </w:t>
      </w:r>
      <w:r w:rsidR="00936C42">
        <w:rPr>
          <w:color w:val="000000"/>
        </w:rPr>
        <w:t xml:space="preserve">for </w:t>
      </w:r>
      <w:r>
        <w:rPr>
          <w:color w:val="000000"/>
        </w:rPr>
        <w:t>tribes or their non-Indian neighbors.</w:t>
      </w:r>
      <w:r w:rsidRPr="00CB2085">
        <w:rPr>
          <w:color w:val="000000"/>
        </w:rPr>
        <w:t xml:space="preserve"> </w:t>
      </w:r>
      <w:r>
        <w:rPr>
          <w:color w:val="000000"/>
        </w:rPr>
        <w:t xml:space="preserve">Litigation often lasts for decades at great cost to </w:t>
      </w:r>
      <w:r w:rsidR="003253EF">
        <w:rPr>
          <w:color w:val="000000"/>
        </w:rPr>
        <w:t xml:space="preserve">all parties:  </w:t>
      </w:r>
      <w:r w:rsidR="00D615F7">
        <w:rPr>
          <w:color w:val="000000"/>
        </w:rPr>
        <w:t>the F</w:t>
      </w:r>
      <w:r>
        <w:rPr>
          <w:color w:val="000000"/>
        </w:rPr>
        <w:t xml:space="preserve">ederal government, tribes, states and local water users.  Even when litigation is concluded and a court </w:t>
      </w:r>
      <w:r w:rsidR="00342B44" w:rsidRPr="00F57691">
        <w:rPr>
          <w:color w:val="000000"/>
        </w:rPr>
        <w:t>decree</w:t>
      </w:r>
      <w:r>
        <w:rPr>
          <w:color w:val="000000"/>
        </w:rPr>
        <w:t>s</w:t>
      </w:r>
      <w:r w:rsidR="00D615F7">
        <w:rPr>
          <w:color w:val="000000"/>
        </w:rPr>
        <w:t xml:space="preserve"> that a t</w:t>
      </w:r>
      <w:r w:rsidR="00342B44" w:rsidRPr="00F57691">
        <w:rPr>
          <w:color w:val="000000"/>
        </w:rPr>
        <w:t>ribe has a right to a certain amount of water of a certain priority date</w:t>
      </w:r>
      <w:r>
        <w:rPr>
          <w:color w:val="000000"/>
        </w:rPr>
        <w:t>, uncertainty persists</w:t>
      </w:r>
      <w:r w:rsidR="00CC0C19">
        <w:rPr>
          <w:color w:val="000000"/>
        </w:rPr>
        <w:t>.</w:t>
      </w:r>
      <w:r w:rsidR="003364C3">
        <w:rPr>
          <w:color w:val="000000"/>
        </w:rPr>
        <w:t xml:space="preserve"> </w:t>
      </w:r>
      <w:r w:rsidR="00D615F7">
        <w:rPr>
          <w:color w:val="000000"/>
        </w:rPr>
        <w:t>If a t</w:t>
      </w:r>
      <w:r w:rsidR="003B096D">
        <w:rPr>
          <w:color w:val="000000"/>
        </w:rPr>
        <w:t>ribe can</w:t>
      </w:r>
      <w:r w:rsidR="003253EF">
        <w:rPr>
          <w:color w:val="000000"/>
        </w:rPr>
        <w:t>not</w:t>
      </w:r>
      <w:r w:rsidR="003B096D">
        <w:rPr>
          <w:color w:val="000000"/>
        </w:rPr>
        <w:t xml:space="preserve"> put it</w:t>
      </w:r>
      <w:r w:rsidR="003253EF">
        <w:rPr>
          <w:color w:val="000000"/>
        </w:rPr>
        <w:t>s</w:t>
      </w:r>
      <w:r w:rsidR="003B096D">
        <w:rPr>
          <w:color w:val="000000"/>
        </w:rPr>
        <w:t xml:space="preserve"> water rights to immediate use,</w:t>
      </w:r>
      <w:r>
        <w:rPr>
          <w:color w:val="000000"/>
        </w:rPr>
        <w:t xml:space="preserve"> </w:t>
      </w:r>
      <w:r w:rsidR="00936C42">
        <w:rPr>
          <w:color w:val="000000"/>
        </w:rPr>
        <w:br/>
        <w:t xml:space="preserve">Western </w:t>
      </w:r>
      <w:r>
        <w:rPr>
          <w:color w:val="000000"/>
        </w:rPr>
        <w:t>water law principles</w:t>
      </w:r>
      <w:r w:rsidR="003B096D">
        <w:rPr>
          <w:color w:val="000000"/>
        </w:rPr>
        <w:t xml:space="preserve"> allow</w:t>
      </w:r>
      <w:r>
        <w:rPr>
          <w:color w:val="000000"/>
        </w:rPr>
        <w:t xml:space="preserve"> other</w:t>
      </w:r>
      <w:r w:rsidR="003B096D">
        <w:rPr>
          <w:color w:val="000000"/>
        </w:rPr>
        <w:t xml:space="preserve"> jun</w:t>
      </w:r>
      <w:r w:rsidR="00C83DAE">
        <w:rPr>
          <w:color w:val="000000"/>
        </w:rPr>
        <w:t>i</w:t>
      </w:r>
      <w:r w:rsidR="003B096D">
        <w:rPr>
          <w:color w:val="000000"/>
        </w:rPr>
        <w:t>or users to take advantage of the</w:t>
      </w:r>
      <w:r>
        <w:rPr>
          <w:color w:val="000000"/>
        </w:rPr>
        <w:t xml:space="preserve"> water</w:t>
      </w:r>
      <w:r w:rsidR="00D615F7">
        <w:rPr>
          <w:color w:val="000000"/>
        </w:rPr>
        <w:t xml:space="preserve"> until such time as a t</w:t>
      </w:r>
      <w:r w:rsidR="003B096D">
        <w:rPr>
          <w:color w:val="000000"/>
        </w:rPr>
        <w:t>ribe can put the water to use.  This, of course, casts a pall of uncertain</w:t>
      </w:r>
      <w:r w:rsidR="003253EF">
        <w:rPr>
          <w:color w:val="000000"/>
        </w:rPr>
        <w:t>t</w:t>
      </w:r>
      <w:r w:rsidR="003B096D">
        <w:rPr>
          <w:color w:val="000000"/>
        </w:rPr>
        <w:t>y</w:t>
      </w:r>
      <w:r w:rsidR="00C265D3">
        <w:rPr>
          <w:color w:val="000000"/>
        </w:rPr>
        <w:t xml:space="preserve"> </w:t>
      </w:r>
      <w:r w:rsidR="003B096D">
        <w:rPr>
          <w:color w:val="000000"/>
        </w:rPr>
        <w:t>over a water system</w:t>
      </w:r>
      <w:r w:rsidR="00C83DAE">
        <w:rPr>
          <w:color w:val="000000"/>
        </w:rPr>
        <w:t xml:space="preserve"> </w:t>
      </w:r>
      <w:r w:rsidR="00342B44" w:rsidRPr="00F57691">
        <w:rPr>
          <w:color w:val="000000"/>
        </w:rPr>
        <w:t xml:space="preserve">because </w:t>
      </w:r>
      <w:r w:rsidR="003B096D">
        <w:rPr>
          <w:color w:val="000000"/>
        </w:rPr>
        <w:t>junior</w:t>
      </w:r>
      <w:r w:rsidR="00342B44" w:rsidRPr="00F57691">
        <w:rPr>
          <w:color w:val="000000"/>
        </w:rPr>
        <w:t xml:space="preserve"> users have no way of knowing when the tribe will </w:t>
      </w:r>
      <w:r w:rsidR="003253EF">
        <w:rPr>
          <w:color w:val="000000"/>
        </w:rPr>
        <w:t>be in a position</w:t>
      </w:r>
      <w:r w:rsidR="003253EF" w:rsidRPr="00F57691">
        <w:rPr>
          <w:color w:val="000000"/>
        </w:rPr>
        <w:t xml:space="preserve"> </w:t>
      </w:r>
      <w:r w:rsidR="00342B44" w:rsidRPr="00F57691">
        <w:rPr>
          <w:color w:val="000000"/>
        </w:rPr>
        <w:t xml:space="preserve">to use its water.  </w:t>
      </w:r>
    </w:p>
    <w:p w:rsidR="00C265D3" w:rsidRDefault="00C265D3" w:rsidP="00342B44">
      <w:pPr>
        <w:pStyle w:val="NormalWeb"/>
        <w:spacing w:before="0" w:beforeAutospacing="0" w:after="0" w:afterAutospacing="0"/>
        <w:jc w:val="both"/>
        <w:rPr>
          <w:color w:val="000000"/>
        </w:rPr>
      </w:pPr>
    </w:p>
    <w:p w:rsidR="00342B44" w:rsidRDefault="00342B44" w:rsidP="00342B44">
      <w:pPr>
        <w:pStyle w:val="NormalWeb"/>
        <w:spacing w:before="0" w:beforeAutospacing="0" w:after="0" w:afterAutospacing="0"/>
        <w:jc w:val="both"/>
        <w:rPr>
          <w:color w:val="000000"/>
        </w:rPr>
      </w:pPr>
      <w:r w:rsidRPr="00F57691">
        <w:rPr>
          <w:color w:val="000000"/>
        </w:rPr>
        <w:t xml:space="preserve">A judicial decree does not get “wet water” to tribes, nor does it provide new infrastructure or do anything to encourage improved water management in the future.  Negotiated settlements, on the other hand, can, and generally do, address these critical issues.  Through a settlement, parties can </w:t>
      </w:r>
      <w:r w:rsidRPr="00F57691">
        <w:rPr>
          <w:color w:val="000000"/>
        </w:rPr>
        <w:lastRenderedPageBreak/>
        <w:t xml:space="preserve">agree to use water more efficiently or in ways that </w:t>
      </w:r>
      <w:r w:rsidR="003B096D">
        <w:rPr>
          <w:color w:val="000000"/>
        </w:rPr>
        <w:t>result in</w:t>
      </w:r>
      <w:r w:rsidRPr="00F57691">
        <w:rPr>
          <w:color w:val="000000"/>
        </w:rPr>
        <w:t xml:space="preserve"> environmental benefits, or to share shortages during times of drought</w:t>
      </w:r>
      <w:r w:rsidR="003B096D">
        <w:rPr>
          <w:color w:val="000000"/>
        </w:rPr>
        <w:t xml:space="preserve"> rather than relying on strict principles of </w:t>
      </w:r>
      <w:r w:rsidR="003253EF">
        <w:rPr>
          <w:color w:val="000000"/>
        </w:rPr>
        <w:t>seniority in priority date</w:t>
      </w:r>
      <w:r w:rsidRPr="00F57691">
        <w:rPr>
          <w:color w:val="000000"/>
        </w:rPr>
        <w:t>.  In exchange for settlement benefits, tribes can agree to subordinate use of their water rights so that existing water uses can continue without impairment. </w:t>
      </w:r>
      <w:r w:rsidR="000C1CFB">
        <w:rPr>
          <w:color w:val="000000"/>
        </w:rPr>
        <w:t xml:space="preserve"> </w:t>
      </w:r>
      <w:r w:rsidRPr="00F57691">
        <w:rPr>
          <w:color w:val="000000"/>
        </w:rPr>
        <w:t xml:space="preserve">Parties to negotiations can agree to terms for mutually beneficial water marketing that could not otherwise occur because of uncertainties in Federal and State law.  Settlement negotiations foster a holistic, problem-solving approach that contrasts with the zero-sum logic of the courtroom, replacing abstract application of legal rules that may have unintended consequences for communities with a unique opportunity for creative, place-based solutions reflecting local knowledge and values.  </w:t>
      </w:r>
    </w:p>
    <w:p w:rsidR="0064201E" w:rsidRDefault="0064201E" w:rsidP="00342B44">
      <w:pPr>
        <w:pStyle w:val="NormalWeb"/>
        <w:spacing w:before="0" w:beforeAutospacing="0" w:after="0" w:afterAutospacing="0"/>
        <w:jc w:val="both"/>
        <w:rPr>
          <w:color w:val="000000"/>
        </w:rPr>
      </w:pPr>
    </w:p>
    <w:p w:rsidR="00000000" w:rsidRDefault="00107970">
      <w:pPr>
        <w:pStyle w:val="NormalWeb"/>
        <w:numPr>
          <w:ilvl w:val="0"/>
          <w:numId w:val="5"/>
        </w:numPr>
        <w:spacing w:before="0" w:beforeAutospacing="0" w:after="0" w:afterAutospacing="0"/>
        <w:jc w:val="both"/>
        <w:rPr>
          <w:b/>
          <w:color w:val="000000"/>
        </w:rPr>
      </w:pPr>
      <w:r>
        <w:rPr>
          <w:b/>
          <w:color w:val="000000"/>
        </w:rPr>
        <w:t>The Department’s</w:t>
      </w:r>
      <w:r w:rsidRPr="0064201E">
        <w:rPr>
          <w:b/>
          <w:color w:val="000000"/>
        </w:rPr>
        <w:t xml:space="preserve"> </w:t>
      </w:r>
      <w:r w:rsidR="0064201E" w:rsidRPr="0064201E">
        <w:rPr>
          <w:b/>
          <w:color w:val="000000"/>
        </w:rPr>
        <w:t>Indian Water Rights Office</w:t>
      </w:r>
    </w:p>
    <w:p w:rsidR="00107970" w:rsidRDefault="00107970" w:rsidP="001D2C07">
      <w:pPr>
        <w:pStyle w:val="PlainText"/>
        <w:jc w:val="both"/>
        <w:rPr>
          <w:rFonts w:ascii="Times New Roman" w:hAnsi="Times New Roman"/>
          <w:sz w:val="24"/>
          <w:szCs w:val="24"/>
        </w:rPr>
      </w:pPr>
    </w:p>
    <w:p w:rsidR="00107970" w:rsidRDefault="00107970" w:rsidP="00107970">
      <w:pPr>
        <w:tabs>
          <w:tab w:val="left" w:pos="900"/>
        </w:tabs>
        <w:jc w:val="both"/>
        <w:rPr>
          <w:color w:val="000000"/>
        </w:rPr>
      </w:pPr>
      <w:r>
        <w:rPr>
          <w:color w:val="000000"/>
        </w:rPr>
        <w:t xml:space="preserve">This Administration’s commitment to Indian water settlements is reflected in the leadership at the Department.  Secretary Salazar's vision and the work of so many at the highest levels of our Department make our Indian water rights program a success.  My Counselor and the Chair of the Working Group on Indian Water Settlements (Working Group), Letty Belin, along with the Assistant Secretaries of Indian Affairs and Water and Science, the Commissioner of Reclamation, the Office of the Solicitor, and the </w:t>
      </w:r>
      <w:r w:rsidRPr="001004D4">
        <w:t>Secretary’s Indian Water Rights Office</w:t>
      </w:r>
      <w:r>
        <w:t>,</w:t>
      </w:r>
      <w:r w:rsidRPr="001B111D">
        <w:rPr>
          <w:color w:val="000000"/>
        </w:rPr>
        <w:t xml:space="preserve"> </w:t>
      </w:r>
      <w:r>
        <w:rPr>
          <w:color w:val="000000"/>
        </w:rPr>
        <w:t xml:space="preserve">work as a team to achieve results that make a real difference, not only for tribes but for all the communities involved.  </w:t>
      </w:r>
    </w:p>
    <w:p w:rsidR="00107970" w:rsidRDefault="00107970" w:rsidP="001D2C07">
      <w:pPr>
        <w:pStyle w:val="PlainText"/>
        <w:jc w:val="both"/>
        <w:rPr>
          <w:rFonts w:ascii="Times New Roman" w:hAnsi="Times New Roman"/>
          <w:sz w:val="24"/>
          <w:szCs w:val="24"/>
        </w:rPr>
      </w:pPr>
    </w:p>
    <w:p w:rsidR="001D2C07" w:rsidRPr="001D2C07" w:rsidRDefault="00107970" w:rsidP="001D2C07">
      <w:pPr>
        <w:pStyle w:val="PlainText"/>
        <w:jc w:val="both"/>
        <w:rPr>
          <w:rFonts w:ascii="Times New Roman" w:hAnsi="Times New Roman"/>
          <w:sz w:val="24"/>
          <w:szCs w:val="24"/>
        </w:rPr>
      </w:pPr>
      <w:r>
        <w:rPr>
          <w:rFonts w:ascii="Times New Roman" w:hAnsi="Times New Roman"/>
          <w:sz w:val="24"/>
          <w:szCs w:val="24"/>
        </w:rPr>
        <w:t xml:space="preserve">The </w:t>
      </w:r>
      <w:r w:rsidR="0064201E" w:rsidRPr="001D2C07">
        <w:rPr>
          <w:rFonts w:ascii="Times New Roman" w:hAnsi="Times New Roman"/>
          <w:sz w:val="24"/>
          <w:szCs w:val="24"/>
        </w:rPr>
        <w:t xml:space="preserve">Secretary’s Indian Water Rights Office </w:t>
      </w:r>
      <w:r w:rsidR="00131D74">
        <w:rPr>
          <w:rFonts w:ascii="Times New Roman" w:hAnsi="Times New Roman"/>
          <w:sz w:val="24"/>
          <w:szCs w:val="24"/>
        </w:rPr>
        <w:t xml:space="preserve">(SIWRO) </w:t>
      </w:r>
      <w:r w:rsidR="0064201E" w:rsidRPr="001D2C07">
        <w:rPr>
          <w:rFonts w:ascii="Times New Roman" w:hAnsi="Times New Roman"/>
          <w:sz w:val="24"/>
          <w:szCs w:val="24"/>
        </w:rPr>
        <w:t xml:space="preserve">was formally established as part of the Secretariat in 2009, but </w:t>
      </w:r>
      <w:r w:rsidR="007648B3" w:rsidRPr="001D2C07">
        <w:rPr>
          <w:rFonts w:ascii="Times New Roman" w:hAnsi="Times New Roman"/>
          <w:sz w:val="24"/>
          <w:szCs w:val="24"/>
        </w:rPr>
        <w:t xml:space="preserve">it </w:t>
      </w:r>
      <w:r w:rsidR="0064201E" w:rsidRPr="001D2C07">
        <w:rPr>
          <w:rFonts w:ascii="Times New Roman" w:hAnsi="Times New Roman"/>
          <w:sz w:val="24"/>
          <w:szCs w:val="24"/>
        </w:rPr>
        <w:t xml:space="preserve">has been in existence for more than two decades.  The Director of SIWRO leads, coordinates, and manages the Department’s Indian water rights settlement program in consultation with the Office of the Solicitor. </w:t>
      </w:r>
      <w:r w:rsidR="00E5293F" w:rsidRPr="001D2C07">
        <w:rPr>
          <w:rFonts w:ascii="Times New Roman" w:hAnsi="Times New Roman"/>
          <w:sz w:val="24"/>
          <w:szCs w:val="24"/>
        </w:rPr>
        <w:t xml:space="preserve"> </w:t>
      </w:r>
      <w:r w:rsidR="007648B3" w:rsidRPr="001D2C07">
        <w:rPr>
          <w:rFonts w:ascii="Times New Roman" w:hAnsi="Times New Roman"/>
          <w:sz w:val="24"/>
          <w:szCs w:val="24"/>
        </w:rPr>
        <w:t>T</w:t>
      </w:r>
      <w:r w:rsidR="0064201E" w:rsidRPr="001D2C07">
        <w:rPr>
          <w:rFonts w:ascii="Times New Roman" w:hAnsi="Times New Roman"/>
          <w:sz w:val="24"/>
          <w:szCs w:val="24"/>
        </w:rPr>
        <w:t>he</w:t>
      </w:r>
      <w:r w:rsidR="00E5293F" w:rsidRPr="001D2C07">
        <w:rPr>
          <w:rFonts w:ascii="Times New Roman" w:hAnsi="Times New Roman"/>
          <w:sz w:val="24"/>
          <w:szCs w:val="24"/>
        </w:rPr>
        <w:t xml:space="preserve"> current</w:t>
      </w:r>
      <w:r w:rsidR="0064201E" w:rsidRPr="001D2C07">
        <w:rPr>
          <w:rFonts w:ascii="Times New Roman" w:hAnsi="Times New Roman"/>
          <w:sz w:val="24"/>
          <w:szCs w:val="24"/>
        </w:rPr>
        <w:t xml:space="preserve"> Director</w:t>
      </w:r>
      <w:r w:rsidR="00E5293F" w:rsidRPr="001D2C07">
        <w:rPr>
          <w:rFonts w:ascii="Times New Roman" w:hAnsi="Times New Roman"/>
          <w:sz w:val="24"/>
          <w:szCs w:val="24"/>
        </w:rPr>
        <w:t>, Pamela Williams</w:t>
      </w:r>
      <w:r w:rsidR="007648B3" w:rsidRPr="001D2C07">
        <w:rPr>
          <w:rFonts w:ascii="Times New Roman" w:hAnsi="Times New Roman"/>
          <w:sz w:val="24"/>
          <w:szCs w:val="24"/>
        </w:rPr>
        <w:t>,</w:t>
      </w:r>
      <w:r w:rsidR="0064201E" w:rsidRPr="001D2C07">
        <w:rPr>
          <w:rFonts w:ascii="Times New Roman" w:hAnsi="Times New Roman"/>
          <w:sz w:val="24"/>
          <w:szCs w:val="24"/>
        </w:rPr>
        <w:t xml:space="preserve"> reports to </w:t>
      </w:r>
      <w:r w:rsidR="00F81B91" w:rsidRPr="001D2C07">
        <w:rPr>
          <w:rFonts w:ascii="Times New Roman" w:hAnsi="Times New Roman"/>
          <w:sz w:val="24"/>
          <w:szCs w:val="24"/>
        </w:rPr>
        <w:t xml:space="preserve">Letty Belin, </w:t>
      </w:r>
      <w:r w:rsidR="0064201E" w:rsidRPr="001D2C07">
        <w:rPr>
          <w:rFonts w:ascii="Times New Roman" w:hAnsi="Times New Roman"/>
          <w:sz w:val="24"/>
          <w:szCs w:val="24"/>
        </w:rPr>
        <w:t>Counselor to the Deputy Secretary</w:t>
      </w:r>
      <w:r w:rsidR="00E5293F" w:rsidRPr="001D2C07">
        <w:rPr>
          <w:rFonts w:ascii="Times New Roman" w:hAnsi="Times New Roman"/>
          <w:sz w:val="24"/>
          <w:szCs w:val="24"/>
        </w:rPr>
        <w:t>,</w:t>
      </w:r>
      <w:r w:rsidR="0064201E" w:rsidRPr="001D2C07">
        <w:rPr>
          <w:rFonts w:ascii="Times New Roman" w:hAnsi="Times New Roman"/>
          <w:sz w:val="24"/>
          <w:szCs w:val="24"/>
        </w:rPr>
        <w:t xml:space="preserve"> who also serves as the Chair of the Secretary’s Working Group on Indian Water Settlements (Working Group). </w:t>
      </w:r>
    </w:p>
    <w:p w:rsidR="001D2C07" w:rsidRDefault="001D2C07" w:rsidP="0064201E">
      <w:pPr>
        <w:tabs>
          <w:tab w:val="left" w:pos="900"/>
        </w:tabs>
        <w:jc w:val="both"/>
      </w:pPr>
    </w:p>
    <w:p w:rsidR="0064201E" w:rsidRDefault="0064201E" w:rsidP="0064201E">
      <w:pPr>
        <w:tabs>
          <w:tab w:val="left" w:pos="900"/>
        </w:tabs>
        <w:jc w:val="both"/>
      </w:pPr>
      <w:r w:rsidRPr="001004D4">
        <w:t>The Working Group consists of the Solicitor and the Assistant Secretaries and makes recommendations to the Secretary regarding the position of the United States in negotiations.</w:t>
      </w:r>
      <w:r w:rsidR="00943E3D">
        <w:t xml:space="preserve">  As the Deputy Secretary, I have taken a strong interest in supporting settlement efforts, helping to steer settlement parties towards workable solutions and personally participating in settlement negotiations that seemed to be stuck.</w:t>
      </w:r>
      <w:r w:rsidRPr="001004D4">
        <w:t xml:space="preserve">  The Department works with other </w:t>
      </w:r>
      <w:r>
        <w:t>Federal a</w:t>
      </w:r>
      <w:r w:rsidRPr="001004D4">
        <w:t xml:space="preserve">gencies, including the Office of Management and Budget and </w:t>
      </w:r>
      <w:r>
        <w:t xml:space="preserve">the </w:t>
      </w:r>
      <w:r w:rsidRPr="001004D4">
        <w:t>Department of Justice</w:t>
      </w:r>
      <w:r>
        <w:t>,</w:t>
      </w:r>
      <w:r w:rsidRPr="001004D4">
        <w:t xml:space="preserve"> in preparing </w:t>
      </w:r>
      <w:r>
        <w:t xml:space="preserve">the </w:t>
      </w:r>
      <w:r w:rsidR="007648B3">
        <w:t xml:space="preserve">settlement </w:t>
      </w:r>
      <w:r>
        <w:t>negotiation position</w:t>
      </w:r>
      <w:r w:rsidR="007648B3">
        <w:t>s</w:t>
      </w:r>
      <w:r>
        <w:t xml:space="preserve"> of the United States</w:t>
      </w:r>
      <w:r w:rsidRPr="001004D4">
        <w:t xml:space="preserve">. </w:t>
      </w:r>
    </w:p>
    <w:p w:rsidR="0064201E" w:rsidRPr="001004D4" w:rsidRDefault="0064201E" w:rsidP="0064201E">
      <w:pPr>
        <w:tabs>
          <w:tab w:val="left" w:pos="900"/>
        </w:tabs>
        <w:jc w:val="both"/>
      </w:pPr>
    </w:p>
    <w:p w:rsidR="0064201E" w:rsidRDefault="00E5293F" w:rsidP="0064201E">
      <w:pPr>
        <w:tabs>
          <w:tab w:val="left" w:pos="900"/>
        </w:tabs>
        <w:jc w:val="both"/>
      </w:pPr>
      <w:r>
        <w:t>The Federal Government is</w:t>
      </w:r>
      <w:r w:rsidR="0064201E" w:rsidRPr="001004D4">
        <w:t xml:space="preserve"> guided</w:t>
      </w:r>
      <w:r>
        <w:t xml:space="preserve"> in negotiations</w:t>
      </w:r>
      <w:r w:rsidR="0064201E" w:rsidRPr="001004D4">
        <w:t xml:space="preserve"> by the </w:t>
      </w:r>
      <w:r w:rsidR="0064201E" w:rsidRPr="00D45629">
        <w:rPr>
          <w:i/>
        </w:rPr>
        <w:t>Criteria and Procedures for the Participation of the Federal Government in Negotiations for the Settlement of Indian Water Rights Claims</w:t>
      </w:r>
      <w:r w:rsidR="0064201E" w:rsidRPr="001004D4">
        <w:t xml:space="preserve"> (55 FR 9223, March 12, 1990) (</w:t>
      </w:r>
      <w:r w:rsidR="0064201E" w:rsidRPr="00D45629">
        <w:rPr>
          <w:i/>
        </w:rPr>
        <w:t>Criteria and Procedures</w:t>
      </w:r>
      <w:r w:rsidR="0064201E">
        <w:t xml:space="preserve"> attached at </w:t>
      </w:r>
      <w:r w:rsidR="0064201E" w:rsidRPr="001004D4">
        <w:t>Tab 1).  The Department</w:t>
      </w:r>
      <w:r w:rsidR="007648B3">
        <w:t xml:space="preserve"> and other Federal agencies</w:t>
      </w:r>
      <w:r w:rsidR="0064201E" w:rsidRPr="001004D4">
        <w:t xml:space="preserve"> participate in settlement discussions at the local level primarily though Federal negotiation teams.  The teams interact with settlement parties, explain Federal policies on settlement and, when possible, help mold the parameters of a settlement.  The SIWRO interfaces with the teams through Team Chairs appointed to each team in the field.  The SIWRO works directly with the Chairman of the Working Group and provide</w:t>
      </w:r>
      <w:r w:rsidR="0064201E">
        <w:t>s</w:t>
      </w:r>
      <w:r w:rsidR="0064201E" w:rsidRPr="001004D4">
        <w:t xml:space="preserve"> policy direction to the teams </w:t>
      </w:r>
      <w:r w:rsidR="00E37A09">
        <w:t>throughout</w:t>
      </w:r>
      <w:r w:rsidR="00E37A09" w:rsidRPr="001004D4">
        <w:t xml:space="preserve"> </w:t>
      </w:r>
      <w:r w:rsidR="0064201E" w:rsidRPr="001004D4">
        <w:t>negotiations</w:t>
      </w:r>
      <w:r w:rsidR="0064201E">
        <w:t xml:space="preserve">.  A representative from the Department of Justice is </w:t>
      </w:r>
      <w:r w:rsidR="0064201E">
        <w:lastRenderedPageBreak/>
        <w:t xml:space="preserve">appointed to each team, as are representatives from other Federal agencies having an interest in a particular negotiation.   </w:t>
      </w:r>
    </w:p>
    <w:p w:rsidR="0064201E" w:rsidRDefault="0064201E" w:rsidP="0064201E">
      <w:pPr>
        <w:tabs>
          <w:tab w:val="left" w:pos="900"/>
        </w:tabs>
        <w:jc w:val="both"/>
      </w:pPr>
    </w:p>
    <w:p w:rsidR="0081622B" w:rsidRDefault="0064201E" w:rsidP="00D119AE">
      <w:pPr>
        <w:tabs>
          <w:tab w:val="left" w:pos="900"/>
        </w:tabs>
        <w:jc w:val="both"/>
      </w:pPr>
      <w:r w:rsidRPr="001004D4">
        <w:t xml:space="preserve">Once a settlement is enacted into law, SIWRO oversees </w:t>
      </w:r>
      <w:r>
        <w:t xml:space="preserve">its </w:t>
      </w:r>
      <w:r w:rsidRPr="001004D4">
        <w:t xml:space="preserve">implementation, primarily through Federal implementation teams, which function much like the Federal negotiation teams only with a focus on helping </w:t>
      </w:r>
      <w:r>
        <w:t xml:space="preserve">the </w:t>
      </w:r>
      <w:r w:rsidRPr="001004D4">
        <w:t>Indian tribe</w:t>
      </w:r>
      <w:r>
        <w:t xml:space="preserve"> and the other parties implement the enacted settlement</w:t>
      </w:r>
      <w:r w:rsidR="00D615F7">
        <w:t>.</w:t>
      </w:r>
    </w:p>
    <w:p w:rsidR="00F81B91" w:rsidRDefault="00F81B91" w:rsidP="00D119AE">
      <w:pPr>
        <w:tabs>
          <w:tab w:val="left" w:pos="900"/>
        </w:tabs>
        <w:jc w:val="both"/>
      </w:pPr>
    </w:p>
    <w:p w:rsidR="00E37A09" w:rsidRDefault="00264773" w:rsidP="00796F45">
      <w:pPr>
        <w:pStyle w:val="POBBodyText"/>
        <w:tabs>
          <w:tab w:val="left" w:pos="900"/>
        </w:tabs>
        <w:spacing w:line="240" w:lineRule="auto"/>
        <w:rPr>
          <w:rFonts w:ascii="Times New Roman" w:hAnsi="Times New Roman"/>
          <w:color w:val="auto"/>
          <w:sz w:val="24"/>
          <w:szCs w:val="24"/>
        </w:rPr>
      </w:pPr>
      <w:r w:rsidRPr="001004D4">
        <w:rPr>
          <w:rFonts w:ascii="Times New Roman" w:hAnsi="Times New Roman"/>
          <w:sz w:val="24"/>
          <w:szCs w:val="24"/>
        </w:rPr>
        <w:t xml:space="preserve">Currently, </w:t>
      </w:r>
      <w:r>
        <w:rPr>
          <w:rFonts w:ascii="Times New Roman" w:hAnsi="Times New Roman"/>
          <w:color w:val="auto"/>
          <w:sz w:val="24"/>
          <w:szCs w:val="24"/>
        </w:rPr>
        <w:t>there are 16</w:t>
      </w:r>
      <w:r w:rsidRPr="001004D4">
        <w:rPr>
          <w:rFonts w:ascii="Times New Roman" w:hAnsi="Times New Roman"/>
          <w:color w:val="auto"/>
          <w:sz w:val="24"/>
          <w:szCs w:val="24"/>
        </w:rPr>
        <w:t xml:space="preserve"> appointed Federal Indian Water Rights Negotiation Teams active in negotiating water rights claims </w:t>
      </w:r>
      <w:r>
        <w:rPr>
          <w:rFonts w:ascii="Times New Roman" w:hAnsi="Times New Roman"/>
          <w:color w:val="auto"/>
          <w:sz w:val="24"/>
          <w:szCs w:val="24"/>
        </w:rPr>
        <w:t>in the western United States.  An additional 20</w:t>
      </w:r>
      <w:r w:rsidRPr="001004D4">
        <w:rPr>
          <w:rFonts w:ascii="Times New Roman" w:hAnsi="Times New Roman"/>
          <w:color w:val="auto"/>
          <w:sz w:val="24"/>
          <w:szCs w:val="24"/>
        </w:rPr>
        <w:t xml:space="preserve"> Federal Indian Water Rights Implementation Teams work on implementing congressionally </w:t>
      </w:r>
      <w:r>
        <w:rPr>
          <w:rFonts w:ascii="Times New Roman" w:hAnsi="Times New Roman"/>
          <w:color w:val="auto"/>
          <w:sz w:val="24"/>
          <w:szCs w:val="24"/>
        </w:rPr>
        <w:t>enacted</w:t>
      </w:r>
      <w:r w:rsidRPr="001004D4">
        <w:rPr>
          <w:rFonts w:ascii="Times New Roman" w:hAnsi="Times New Roman"/>
          <w:color w:val="auto"/>
          <w:sz w:val="24"/>
          <w:szCs w:val="24"/>
        </w:rPr>
        <w:t xml:space="preserve"> settlements</w:t>
      </w:r>
      <w:r>
        <w:rPr>
          <w:rFonts w:ascii="Times New Roman" w:hAnsi="Times New Roman"/>
          <w:color w:val="auto"/>
          <w:sz w:val="24"/>
          <w:szCs w:val="24"/>
        </w:rPr>
        <w:t xml:space="preserve">, including the four enacted in </w:t>
      </w:r>
      <w:r w:rsidRPr="001004D4">
        <w:rPr>
          <w:rFonts w:ascii="Times New Roman" w:hAnsi="Times New Roman"/>
          <w:color w:val="auto"/>
          <w:sz w:val="24"/>
          <w:szCs w:val="24"/>
        </w:rPr>
        <w:t>2010.  With increasing drought conditions in the United States and pressure</w:t>
      </w:r>
      <w:r>
        <w:rPr>
          <w:rFonts w:ascii="Times New Roman" w:hAnsi="Times New Roman"/>
          <w:color w:val="auto"/>
          <w:sz w:val="24"/>
          <w:szCs w:val="24"/>
        </w:rPr>
        <w:t xml:space="preserve"> from </w:t>
      </w:r>
      <w:r w:rsidRPr="001004D4">
        <w:rPr>
          <w:rFonts w:ascii="Times New Roman" w:hAnsi="Times New Roman"/>
          <w:color w:val="auto"/>
          <w:sz w:val="24"/>
          <w:szCs w:val="24"/>
        </w:rPr>
        <w:t>an expanding population, the number of requests for the appointment of new negotiation teams continues to grow. </w:t>
      </w:r>
    </w:p>
    <w:p w:rsidR="00796F45" w:rsidRDefault="00796F45" w:rsidP="00796F45">
      <w:pPr>
        <w:pStyle w:val="POBBodyText"/>
        <w:tabs>
          <w:tab w:val="left" w:pos="900"/>
        </w:tabs>
        <w:spacing w:line="240" w:lineRule="auto"/>
        <w:rPr>
          <w:rFonts w:ascii="Times New Roman" w:hAnsi="Times New Roman"/>
          <w:color w:val="auto"/>
          <w:sz w:val="24"/>
          <w:szCs w:val="24"/>
        </w:rPr>
      </w:pPr>
    </w:p>
    <w:p w:rsidR="00CD7571" w:rsidRPr="00BD165F" w:rsidRDefault="00263879" w:rsidP="00BD165F">
      <w:pPr>
        <w:autoSpaceDE w:val="0"/>
        <w:autoSpaceDN w:val="0"/>
        <w:adjustRightInd w:val="0"/>
        <w:jc w:val="both"/>
        <w:rPr>
          <w:color w:val="000000"/>
        </w:rPr>
      </w:pPr>
      <w:r>
        <w:rPr>
          <w:color w:val="000000"/>
        </w:rPr>
        <w:t>In the last ten years,</w:t>
      </w:r>
      <w:r w:rsidRPr="00263879">
        <w:rPr>
          <w:color w:val="000000"/>
        </w:rPr>
        <w:t xml:space="preserve"> </w:t>
      </w:r>
      <w:r>
        <w:rPr>
          <w:color w:val="000000"/>
        </w:rPr>
        <w:t xml:space="preserve">six </w:t>
      </w:r>
      <w:r w:rsidRPr="00263879">
        <w:rPr>
          <w:color w:val="000000"/>
        </w:rPr>
        <w:t xml:space="preserve">bills authorizing Indian Water Rights settlements </w:t>
      </w:r>
      <w:r>
        <w:rPr>
          <w:color w:val="000000"/>
        </w:rPr>
        <w:t xml:space="preserve">with </w:t>
      </w:r>
      <w:r w:rsidR="00761429">
        <w:rPr>
          <w:color w:val="000000"/>
        </w:rPr>
        <w:t>fourteen</w:t>
      </w:r>
      <w:r>
        <w:rPr>
          <w:color w:val="000000"/>
        </w:rPr>
        <w:t xml:space="preserve"> Indian tribes </w:t>
      </w:r>
      <w:r w:rsidRPr="00263879">
        <w:rPr>
          <w:color w:val="000000"/>
        </w:rPr>
        <w:t xml:space="preserve">have been enacted:  Zuni, Pub. </w:t>
      </w:r>
      <w:proofErr w:type="gramStart"/>
      <w:r w:rsidRPr="00263879">
        <w:rPr>
          <w:color w:val="000000"/>
        </w:rPr>
        <w:t>L. No. 108-34, Nez Perce, Pub.</w:t>
      </w:r>
      <w:proofErr w:type="gramEnd"/>
      <w:r w:rsidRPr="00263879">
        <w:rPr>
          <w:color w:val="000000"/>
        </w:rPr>
        <w:t xml:space="preserve"> </w:t>
      </w:r>
      <w:proofErr w:type="gramStart"/>
      <w:r w:rsidRPr="00263879">
        <w:rPr>
          <w:color w:val="000000"/>
        </w:rPr>
        <w:t>L. No. 108-447, and the Arizona Water Settlements Act, Pub.</w:t>
      </w:r>
      <w:proofErr w:type="gramEnd"/>
      <w:r w:rsidRPr="00263879">
        <w:rPr>
          <w:color w:val="000000"/>
        </w:rPr>
        <w:t xml:space="preserve"> </w:t>
      </w:r>
      <w:proofErr w:type="gramStart"/>
      <w:r w:rsidRPr="00263879">
        <w:rPr>
          <w:color w:val="000000"/>
        </w:rPr>
        <w:t>L. No. 108-451 (Dec. 10, 2004) (Gila River Indian Community, Tohono O’</w:t>
      </w:r>
      <w:r w:rsidR="00761429">
        <w:rPr>
          <w:color w:val="000000"/>
        </w:rPr>
        <w:t>odham Nation</w:t>
      </w:r>
      <w:r w:rsidRPr="00263879">
        <w:rPr>
          <w:color w:val="000000"/>
        </w:rPr>
        <w:t>), Soboba</w:t>
      </w:r>
      <w:r>
        <w:rPr>
          <w:color w:val="000000"/>
        </w:rPr>
        <w:t xml:space="preserve"> Indian Tribe</w:t>
      </w:r>
      <w:r w:rsidRPr="00263879">
        <w:rPr>
          <w:color w:val="000000"/>
        </w:rPr>
        <w:t>, Pub.</w:t>
      </w:r>
      <w:proofErr w:type="gramEnd"/>
      <w:r w:rsidRPr="00263879">
        <w:rPr>
          <w:color w:val="000000"/>
        </w:rPr>
        <w:t xml:space="preserve"> </w:t>
      </w:r>
      <w:proofErr w:type="gramStart"/>
      <w:r w:rsidRPr="00263879">
        <w:rPr>
          <w:color w:val="000000"/>
        </w:rPr>
        <w:t>L. No. 110-297 (July 31, 2008), Omnibus Public Land Management Act, Pub.</w:t>
      </w:r>
      <w:proofErr w:type="gramEnd"/>
      <w:r w:rsidRPr="00263879">
        <w:rPr>
          <w:color w:val="000000"/>
        </w:rPr>
        <w:t xml:space="preserve"> </w:t>
      </w:r>
      <w:proofErr w:type="gramStart"/>
      <w:r w:rsidRPr="00263879">
        <w:rPr>
          <w:color w:val="000000"/>
        </w:rPr>
        <w:t>L. No. 111-11 (Mar. 30, 2009) (Navajo</w:t>
      </w:r>
      <w:r w:rsidR="00761429">
        <w:rPr>
          <w:color w:val="000000"/>
        </w:rPr>
        <w:t>—San Juan</w:t>
      </w:r>
      <w:r w:rsidRPr="00263879">
        <w:rPr>
          <w:color w:val="000000"/>
        </w:rPr>
        <w:t xml:space="preserve">, and Shoshone-Paiute Tribes of the Duck Valley Reservation), and </w:t>
      </w:r>
      <w:r>
        <w:rPr>
          <w:color w:val="000000"/>
        </w:rPr>
        <w:t xml:space="preserve">the Claims Resolution Act </w:t>
      </w:r>
      <w:r w:rsidRPr="00263879">
        <w:rPr>
          <w:color w:val="000000"/>
        </w:rPr>
        <w:t>Pub.</w:t>
      </w:r>
      <w:proofErr w:type="gramEnd"/>
      <w:r w:rsidRPr="00263879">
        <w:rPr>
          <w:color w:val="000000"/>
        </w:rPr>
        <w:t xml:space="preserve"> L. No. 111-291 (Dec. 9, 2010) (White Mountain Apache Tribe, Crow Tribe, Pueblo of Taos, </w:t>
      </w:r>
      <w:r w:rsidR="001D2C07">
        <w:rPr>
          <w:color w:val="000000"/>
        </w:rPr>
        <w:t>Pueblo of Nambe, Pueblo of</w:t>
      </w:r>
      <w:r w:rsidRPr="00263879">
        <w:rPr>
          <w:color w:val="000000"/>
        </w:rPr>
        <w:t xml:space="preserve"> </w:t>
      </w:r>
      <w:r w:rsidR="001D2C07">
        <w:rPr>
          <w:color w:val="000000"/>
        </w:rPr>
        <w:t>Pojoaque, Pueblo of San Ildefonso, and Pueblo of</w:t>
      </w:r>
      <w:r w:rsidRPr="00263879">
        <w:rPr>
          <w:color w:val="000000"/>
        </w:rPr>
        <w:t xml:space="preserve"> Tesuque).</w:t>
      </w:r>
      <w:r w:rsidR="00297CE0">
        <w:rPr>
          <w:color w:val="000000"/>
        </w:rPr>
        <w:t xml:space="preserve">  Of the six bills, President Obama signed two of the bills, which settled water rights claims for nine Indian tribes.  </w:t>
      </w:r>
    </w:p>
    <w:p w:rsidR="00CD7571" w:rsidRPr="00796F45" w:rsidRDefault="00CD7571" w:rsidP="00796F45">
      <w:pPr>
        <w:pStyle w:val="POBBodyText"/>
        <w:tabs>
          <w:tab w:val="left" w:pos="900"/>
        </w:tabs>
        <w:spacing w:line="240" w:lineRule="auto"/>
        <w:rPr>
          <w:rFonts w:ascii="Times New Roman" w:hAnsi="Times New Roman"/>
          <w:color w:val="auto"/>
          <w:sz w:val="24"/>
          <w:szCs w:val="24"/>
        </w:rPr>
      </w:pPr>
    </w:p>
    <w:p w:rsidR="00996498" w:rsidRDefault="00996498" w:rsidP="00E73CCF">
      <w:pPr>
        <w:numPr>
          <w:ilvl w:val="0"/>
          <w:numId w:val="5"/>
        </w:numPr>
        <w:rPr>
          <w:b/>
        </w:rPr>
      </w:pPr>
      <w:r w:rsidRPr="00996498">
        <w:rPr>
          <w:b/>
        </w:rPr>
        <w:t>Future Challenges</w:t>
      </w:r>
    </w:p>
    <w:p w:rsidR="00996498" w:rsidRDefault="00996498" w:rsidP="00796F45">
      <w:pPr>
        <w:rPr>
          <w:b/>
        </w:rPr>
      </w:pPr>
    </w:p>
    <w:p w:rsidR="00DA1D28" w:rsidRDefault="00996498" w:rsidP="003E15C6">
      <w:pPr>
        <w:jc w:val="both"/>
      </w:pPr>
      <w:r>
        <w:t>We recognize that much work remains to be done in this area.  Throu</w:t>
      </w:r>
      <w:r w:rsidR="00DA1D28">
        <w:t>gh the Federal Negotiation T</w:t>
      </w:r>
      <w:r>
        <w:t xml:space="preserve">eams, we </w:t>
      </w:r>
      <w:r w:rsidR="00D119AE">
        <w:t xml:space="preserve">are actively </w:t>
      </w:r>
      <w:r>
        <w:t>participat</w:t>
      </w:r>
      <w:r w:rsidR="00D119AE">
        <w:t>ing</w:t>
      </w:r>
      <w:r>
        <w:t xml:space="preserve"> in ongoing negotiations to settle water rights claims in </w:t>
      </w:r>
      <w:r w:rsidR="00D119AE">
        <w:t xml:space="preserve">a number of </w:t>
      </w:r>
      <w:r>
        <w:t xml:space="preserve">States including Arizona, Montana, New Mexico, and California.  </w:t>
      </w:r>
      <w:r w:rsidR="00BD165F">
        <w:t xml:space="preserve">As I stated previously, legislation </w:t>
      </w:r>
      <w:r w:rsidR="00796F45" w:rsidRPr="007157A6">
        <w:t xml:space="preserve">to approve the Blackfeet </w:t>
      </w:r>
      <w:r w:rsidR="00796F45" w:rsidRPr="00796F45">
        <w:t xml:space="preserve">and the Navajo-Hopi settlements </w:t>
      </w:r>
      <w:r>
        <w:t xml:space="preserve">is </w:t>
      </w:r>
      <w:r w:rsidR="00796F45" w:rsidRPr="007157A6">
        <w:t xml:space="preserve">currently pending in Congress. </w:t>
      </w:r>
      <w:r>
        <w:t xml:space="preserve"> </w:t>
      </w:r>
      <w:r w:rsidR="00DA1D28">
        <w:t xml:space="preserve">We look forward to working with this Committee </w:t>
      </w:r>
      <w:r w:rsidR="00594723">
        <w:t>and the stakeholders of the</w:t>
      </w:r>
      <w:r w:rsidR="00DA1D28">
        <w:t xml:space="preserve">se settlements to produce strong settlements that the Administration can support.  </w:t>
      </w:r>
    </w:p>
    <w:p w:rsidR="00761429" w:rsidRDefault="00761429" w:rsidP="003E15C6">
      <w:pPr>
        <w:jc w:val="both"/>
      </w:pPr>
    </w:p>
    <w:p w:rsidR="00761429" w:rsidRDefault="001D2C07" w:rsidP="00E14325">
      <w:pPr>
        <w:autoSpaceDE w:val="0"/>
        <w:autoSpaceDN w:val="0"/>
        <w:adjustRightInd w:val="0"/>
        <w:jc w:val="both"/>
      </w:pPr>
      <w:r>
        <w:t>During the litigation</w:t>
      </w:r>
      <w:r w:rsidR="00BD165F">
        <w:t>, assessment</w:t>
      </w:r>
      <w:r>
        <w:t xml:space="preserve"> and negotiation phase</w:t>
      </w:r>
      <w:r w:rsidR="00C81BBC">
        <w:t>s</w:t>
      </w:r>
      <w:r>
        <w:t xml:space="preserve">, </w:t>
      </w:r>
      <w:r w:rsidR="00BD165F" w:rsidRPr="007157A6">
        <w:t xml:space="preserve">the </w:t>
      </w:r>
      <w:r w:rsidR="00BD165F">
        <w:t xml:space="preserve">Bureau of Indian Affairs’ (BIA) </w:t>
      </w:r>
      <w:r w:rsidR="00761429" w:rsidRPr="007157A6">
        <w:t>Water Resources and Water Rights Litigation and Negotiation Programs provide</w:t>
      </w:r>
      <w:r w:rsidR="00761429">
        <w:t>s</w:t>
      </w:r>
      <w:r w:rsidR="00761429" w:rsidRPr="007157A6">
        <w:t xml:space="preserve"> technical and factual work product in support of the Indian water rights claims.  </w:t>
      </w:r>
      <w:r>
        <w:t xml:space="preserve">This program provides the major financial support for the United States to defend and assert Indian water rights. The funds are used by the United States and tribes for activities associated with establishing or defending Indian water rights through negotiations and/or litigation. Program funding is critical to supporting and advancing on-going Indian water rights litigation cases and the Federal and tribal negotiations being conducted to secure adjudicated water rights in lieu of litigation.  In the Indian water rights litigation cases, BIA water programs staff coordinate with the Department of Justice and Interior’s Office of the Solicitor to provide expert witnesses and consultants’ studies to meet court and other deadlines. In addition to providing negotiation and/or litigation support for Indian water rights claims, funds are used for technical research and studies to develop and substantiate </w:t>
      </w:r>
      <w:r w:rsidR="00BD165F">
        <w:lastRenderedPageBreak/>
        <w:t xml:space="preserve">the United States’ </w:t>
      </w:r>
      <w:r>
        <w:t>claims for Indian trust water rights.</w:t>
      </w:r>
      <w:r w:rsidR="00C13FB5">
        <w:t xml:space="preserve">  </w:t>
      </w:r>
      <w:r w:rsidR="004377C6">
        <w:t xml:space="preserve">For fiscal years 2010 to 2012, funding for this program averaged around $8 million.  For FY 2013, the budget request is for $8.6 million.  </w:t>
      </w:r>
    </w:p>
    <w:p w:rsidR="00830988" w:rsidRDefault="00830988" w:rsidP="00E14325">
      <w:pPr>
        <w:autoSpaceDE w:val="0"/>
        <w:autoSpaceDN w:val="0"/>
        <w:adjustRightInd w:val="0"/>
        <w:jc w:val="both"/>
      </w:pPr>
    </w:p>
    <w:p w:rsidR="00830988" w:rsidRPr="00830988" w:rsidRDefault="00830988" w:rsidP="00E14325">
      <w:pPr>
        <w:autoSpaceDE w:val="0"/>
        <w:autoSpaceDN w:val="0"/>
        <w:adjustRightInd w:val="0"/>
        <w:jc w:val="both"/>
      </w:pPr>
      <w:r w:rsidRPr="00830988">
        <w:t xml:space="preserve">Another program within the Department that provides assistance for Indian water rights claims is the Native American Affairs Program (NAAP) within the Bureau of Reclamation (Reclamation).  NAAP provides </w:t>
      </w:r>
      <w:r w:rsidRPr="00830988">
        <w:rPr>
          <w:color w:val="000000"/>
        </w:rPr>
        <w:t xml:space="preserve">technical support for Indian water rights settlements, and to assist tribal governments to develop, manage and protect their water and related resources. </w:t>
      </w:r>
      <w:r w:rsidR="003253EF">
        <w:rPr>
          <w:color w:val="000000"/>
        </w:rPr>
        <w:t>This office also</w:t>
      </w:r>
      <w:r w:rsidR="002C0B07">
        <w:rPr>
          <w:color w:val="000000"/>
        </w:rPr>
        <w:t xml:space="preserve"> provid</w:t>
      </w:r>
      <w:r w:rsidR="003253EF">
        <w:rPr>
          <w:color w:val="000000"/>
        </w:rPr>
        <w:t>es</w:t>
      </w:r>
      <w:r w:rsidR="002C0B07">
        <w:rPr>
          <w:color w:val="000000"/>
        </w:rPr>
        <w:t xml:space="preserve"> </w:t>
      </w:r>
      <w:r w:rsidRPr="00830988">
        <w:rPr>
          <w:color w:val="000000"/>
        </w:rPr>
        <w:t>policy guidance for Reclamation’s work with tribes throughout the organization in such areas as the Indian trust responsibility, government-to-government consultations, and Indian self-governance and self-determination.</w:t>
      </w:r>
      <w:r w:rsidR="009E46AF">
        <w:rPr>
          <w:color w:val="000000"/>
        </w:rPr>
        <w:t xml:space="preserve">  </w:t>
      </w:r>
      <w:r w:rsidR="00425C19">
        <w:t xml:space="preserve">For fiscal years 2010 to 2012, funding for this program averaged around $6.8 million.  For FY 2013, the budget request is for $6.4 million.  </w:t>
      </w:r>
    </w:p>
    <w:p w:rsidR="00761429" w:rsidRDefault="00761429" w:rsidP="003E15C6">
      <w:pPr>
        <w:jc w:val="both"/>
      </w:pPr>
    </w:p>
    <w:p w:rsidR="00796F45" w:rsidRDefault="00BD165F" w:rsidP="003E15C6">
      <w:pPr>
        <w:jc w:val="both"/>
      </w:pPr>
      <w:r>
        <w:t>One of the questions that we must wrestle with, and that we would like to engage this Committee and other stakeholders in further discussions of, is how to fund Indian water rights settlements going forward</w:t>
      </w:r>
      <w:r w:rsidR="003253EF">
        <w:t>.</w:t>
      </w:r>
      <w:r>
        <w:t xml:space="preserve"> </w:t>
      </w:r>
      <w:r w:rsidR="00D05DF0">
        <w:t xml:space="preserve">Until recently, water rights settlements generally </w:t>
      </w:r>
      <w:r w:rsidR="00E37A09">
        <w:t xml:space="preserve">were </w:t>
      </w:r>
      <w:r w:rsidR="00C01A75">
        <w:t xml:space="preserve">funded through the Department’s </w:t>
      </w:r>
      <w:r w:rsidR="00D05DF0">
        <w:t xml:space="preserve">discretionary appropriations.  Work to be performed </w:t>
      </w:r>
      <w:r w:rsidR="00E37A09">
        <w:t xml:space="preserve">under the settlements </w:t>
      </w:r>
      <w:r w:rsidR="00D05DF0">
        <w:t xml:space="preserve">by </w:t>
      </w:r>
      <w:r w:rsidR="00C01A75">
        <w:t>Reclamation</w:t>
      </w:r>
      <w:r w:rsidR="00D05DF0">
        <w:t xml:space="preserve"> </w:t>
      </w:r>
      <w:r w:rsidR="00E37A09">
        <w:t xml:space="preserve">has </w:t>
      </w:r>
      <w:r w:rsidR="00D05DF0">
        <w:t xml:space="preserve">come out of Reclamation’s budget, and other settlement costs generally have come out of the </w:t>
      </w:r>
      <w:r w:rsidR="002C0B07">
        <w:t xml:space="preserve">BIA’s </w:t>
      </w:r>
      <w:r w:rsidR="00D05DF0">
        <w:t xml:space="preserve">budget.  </w:t>
      </w:r>
    </w:p>
    <w:p w:rsidR="00D05DF0" w:rsidRDefault="00D05DF0" w:rsidP="003E15C6">
      <w:pPr>
        <w:jc w:val="both"/>
      </w:pPr>
    </w:p>
    <w:p w:rsidR="00725553" w:rsidRDefault="00D05DF0" w:rsidP="003E15C6">
      <w:pPr>
        <w:jc w:val="both"/>
      </w:pPr>
      <w:r>
        <w:t xml:space="preserve">Recognizing that discretionary budgets have been coming under increasing pressure in these tight budget times, Congress recently </w:t>
      </w:r>
      <w:r w:rsidR="00E37A09">
        <w:t xml:space="preserve">has </w:t>
      </w:r>
      <w:r>
        <w:t>included provisions for a variety of innovative funding mechanisms in water rights settlements.  The Claims Resolution Act, for example, provided approximately $650 million of direct funding for the water rig</w:t>
      </w:r>
      <w:r w:rsidR="00725553">
        <w:t>hts settlements enacted therein, plus an additional $180 million of funding for the Navajo-San Juan settlement enacted in P</w:t>
      </w:r>
      <w:r w:rsidR="003E15C6">
        <w:t>ub</w:t>
      </w:r>
      <w:r w:rsidR="00725553">
        <w:t>.</w:t>
      </w:r>
      <w:r w:rsidR="003E15C6">
        <w:t xml:space="preserve"> </w:t>
      </w:r>
      <w:r w:rsidR="00725553">
        <w:t xml:space="preserve">L. </w:t>
      </w:r>
      <w:r w:rsidR="003E15C6">
        <w:t xml:space="preserve">No. </w:t>
      </w:r>
      <w:r w:rsidR="00725553">
        <w:t>111-11</w:t>
      </w:r>
      <w:r w:rsidR="003E15C6">
        <w:t xml:space="preserve"> (Mar. 30, 2009)</w:t>
      </w:r>
      <w:r w:rsidR="00725553">
        <w:t xml:space="preserve">.  </w:t>
      </w:r>
      <w:proofErr w:type="gramStart"/>
      <w:r w:rsidR="00725553">
        <w:t xml:space="preserve">Consistent with the budget rules established by the </w:t>
      </w:r>
      <w:r w:rsidR="00725553" w:rsidRPr="00725553">
        <w:t>Statutory Pa</w:t>
      </w:r>
      <w:r w:rsidR="00725553">
        <w:t>y-As-You-Go Act of 2010 (PAYGO), P</w:t>
      </w:r>
      <w:r w:rsidR="003E15C6">
        <w:t>ub</w:t>
      </w:r>
      <w:r w:rsidR="00725553">
        <w:t>.</w:t>
      </w:r>
      <w:proofErr w:type="gramEnd"/>
      <w:r w:rsidR="003E15C6">
        <w:t xml:space="preserve"> </w:t>
      </w:r>
      <w:r w:rsidR="00725553">
        <w:t>L.</w:t>
      </w:r>
      <w:r w:rsidR="003E15C6">
        <w:t xml:space="preserve"> No.</w:t>
      </w:r>
      <w:r w:rsidR="00725553" w:rsidRPr="00725553">
        <w:t xml:space="preserve"> 111-139</w:t>
      </w:r>
      <w:r w:rsidR="003E15C6">
        <w:t xml:space="preserve"> (Feb. 12, 2010)</w:t>
      </w:r>
      <w:r w:rsidR="00725553">
        <w:t xml:space="preserve">, Congress must provide for offsets of direct spending contained in legislation in order to avoid increases in projected deficits, and all spending contained in the Claims Resolution Act was fully offset.  </w:t>
      </w:r>
    </w:p>
    <w:p w:rsidR="00887BA6" w:rsidRDefault="00887BA6" w:rsidP="003E15C6">
      <w:pPr>
        <w:jc w:val="both"/>
      </w:pPr>
    </w:p>
    <w:p w:rsidR="00887BA6" w:rsidRDefault="00887BA6" w:rsidP="003E15C6">
      <w:pPr>
        <w:jc w:val="both"/>
      </w:pPr>
      <w:proofErr w:type="gramStart"/>
      <w:r>
        <w:t xml:space="preserve">Another approach that Congress took in </w:t>
      </w:r>
      <w:r w:rsidR="00DA1D28">
        <w:t xml:space="preserve">section 10501 of </w:t>
      </w:r>
      <w:r>
        <w:t>P</w:t>
      </w:r>
      <w:r w:rsidR="003E15C6">
        <w:t>ub</w:t>
      </w:r>
      <w:r>
        <w:t>.</w:t>
      </w:r>
      <w:proofErr w:type="gramEnd"/>
      <w:r w:rsidR="003E15C6">
        <w:t xml:space="preserve"> </w:t>
      </w:r>
      <w:r>
        <w:t>L.</w:t>
      </w:r>
      <w:r w:rsidR="003E15C6">
        <w:t xml:space="preserve"> No</w:t>
      </w:r>
      <w:r>
        <w:t xml:space="preserve"> 111-11 </w:t>
      </w:r>
      <w:r w:rsidR="003E15C6">
        <w:t xml:space="preserve">(Mar. 20, 2009) </w:t>
      </w:r>
      <w:r>
        <w:t>was the creation of</w:t>
      </w:r>
      <w:r w:rsidR="00DA1D28">
        <w:t xml:space="preserve"> the Reclamation Water Settlement Fund.  Starting in 2020, this fund will provide a limited level of funding in Indian water rights settlements enacted by Congress</w:t>
      </w:r>
      <w:r w:rsidR="00131D74">
        <w:t xml:space="preserve"> involving a role for Reclamation</w:t>
      </w:r>
      <w:r w:rsidR="00DA1D28">
        <w:t>.  Because funds from this source are</w:t>
      </w:r>
      <w:r>
        <w:t xml:space="preserve"> direct spending</w:t>
      </w:r>
      <w:r w:rsidR="00DA1D28">
        <w:t xml:space="preserve"> not subject to further appropriation</w:t>
      </w:r>
      <w:r>
        <w:t xml:space="preserve">, </w:t>
      </w:r>
      <w:r w:rsidR="00DA1D28">
        <w:t>increased use of</w:t>
      </w:r>
      <w:r>
        <w:t xml:space="preserve"> this fund would require offsets to meet the req</w:t>
      </w:r>
      <w:r w:rsidR="00FD7B5A">
        <w:t xml:space="preserve">uirements of statutory PAYGO.  </w:t>
      </w:r>
      <w:r>
        <w:t>Congress also provided some funding for future Indian water rights settlements through provisions of the Arizona Water Rights Settlement Act of 2004</w:t>
      </w:r>
      <w:r w:rsidRPr="00887BA6">
        <w:t>, P</w:t>
      </w:r>
      <w:r w:rsidR="003E15C6">
        <w:t>ub</w:t>
      </w:r>
      <w:r w:rsidRPr="00887BA6">
        <w:t>.</w:t>
      </w:r>
      <w:r w:rsidR="003E15C6">
        <w:t xml:space="preserve"> </w:t>
      </w:r>
      <w:r w:rsidRPr="00887BA6">
        <w:t>L.</w:t>
      </w:r>
      <w:r w:rsidR="003E15C6">
        <w:t xml:space="preserve"> No.</w:t>
      </w:r>
      <w:r w:rsidRPr="00887BA6">
        <w:t xml:space="preserve"> 108-451</w:t>
      </w:r>
      <w:r w:rsidR="003E15C6">
        <w:t xml:space="preserve"> (Dec. 10, 2004)</w:t>
      </w:r>
      <w:r w:rsidR="00DA1D28">
        <w:t>,</w:t>
      </w:r>
      <w:r>
        <w:t xml:space="preserve"> providing that $250 million be made available from the Lower Colorado River Basin Development Fund to fund Indian water rights settlements in the State of Arizona.  Again, </w:t>
      </w:r>
      <w:r w:rsidR="00DA1D28">
        <w:t xml:space="preserve">since it provides for direct spending, increased </w:t>
      </w:r>
      <w:r>
        <w:t xml:space="preserve">use of this fund would require offsets to meet the requirements of statutory PAYGO.  </w:t>
      </w:r>
    </w:p>
    <w:p w:rsidR="00CD7571" w:rsidRPr="001C1D48" w:rsidRDefault="00CD7571" w:rsidP="001C1D48">
      <w:pPr>
        <w:jc w:val="both"/>
        <w:rPr>
          <w:szCs w:val="22"/>
        </w:rPr>
      </w:pPr>
    </w:p>
    <w:p w:rsidR="00A2267B" w:rsidRDefault="00D918AB" w:rsidP="003E15C6">
      <w:pPr>
        <w:jc w:val="both"/>
      </w:pPr>
      <w:r>
        <w:t xml:space="preserve">Another issue that settlements face is </w:t>
      </w:r>
      <w:r w:rsidR="003253EF">
        <w:t xml:space="preserve">the need to raise </w:t>
      </w:r>
      <w:r>
        <w:t xml:space="preserve">awareness of the value of these settlements to all sides, including at the Federal level.  </w:t>
      </w:r>
      <w:r w:rsidR="008E54F7">
        <w:t xml:space="preserve">Some </w:t>
      </w:r>
      <w:r>
        <w:t xml:space="preserve">in Congress </w:t>
      </w:r>
      <w:r w:rsidR="008E54F7">
        <w:t xml:space="preserve">are now questioning whether Indian water rights settlements represent an overall benefit to taxpayers when balanced against the potential consequences and costs of continued litigation over Indian water rights claims.  </w:t>
      </w:r>
      <w:r w:rsidR="00594723">
        <w:t xml:space="preserve">In the settlements that this Administration has supported, and that we </w:t>
      </w:r>
      <w:r w:rsidR="003E6CE3">
        <w:t>would</w:t>
      </w:r>
      <w:r w:rsidR="00594723">
        <w:t xml:space="preserve"> support in </w:t>
      </w:r>
      <w:r w:rsidR="00594723">
        <w:lastRenderedPageBreak/>
        <w:t>the future, I can tell you that we believe the answer is a resounding yes.  The</w:t>
      </w:r>
      <w:r w:rsidR="008E54F7">
        <w:t xml:space="preserve"> consequences</w:t>
      </w:r>
      <w:r w:rsidR="00594723">
        <w:t xml:space="preserve"> and costs of litigation are different for every particular settlement and, as</w:t>
      </w:r>
      <w:r w:rsidR="008E54F7">
        <w:t xml:space="preserve"> discuss</w:t>
      </w:r>
      <w:r w:rsidR="00594723">
        <w:t>ed</w:t>
      </w:r>
      <w:r w:rsidR="008E54F7">
        <w:t xml:space="preserve"> in </w:t>
      </w:r>
      <w:r w:rsidR="003E15C6">
        <w:t xml:space="preserve">the </w:t>
      </w:r>
      <w:r w:rsidR="008E54F7">
        <w:t>Administration</w:t>
      </w:r>
      <w:r w:rsidR="003E15C6">
        <w:t>’s</w:t>
      </w:r>
      <w:r w:rsidR="008E54F7">
        <w:t xml:space="preserve"> testimony presented on Indian water rights settlement bills</w:t>
      </w:r>
      <w:r w:rsidR="00594723">
        <w:t xml:space="preserve"> in the last Congress</w:t>
      </w:r>
      <w:r w:rsidR="008E54F7">
        <w:t>, are not always susceptible to simple quantification.  They include the rancor between neighbors that contested litigation can cause, which may last long after the water rights have been adjudicated, as well as the prolonged uncertainty due to the time it takes to litigate complex stream adjudications.  Both rancor and uncertainty can have substantial economic consequences</w:t>
      </w:r>
      <w:r w:rsidR="000E2F9B">
        <w:t xml:space="preserve"> for both Indian and non-Indian communities</w:t>
      </w:r>
      <w:r w:rsidR="00A2267B">
        <w:t>, preventing needed investments in businesses and infrastructure that require reliable water supplies in order to function</w:t>
      </w:r>
      <w:r w:rsidR="008E54F7">
        <w:t>.</w:t>
      </w:r>
      <w:r w:rsidR="00A2267B">
        <w:t xml:space="preserve">  </w:t>
      </w:r>
    </w:p>
    <w:p w:rsidR="00F6140E" w:rsidRDefault="00F6140E" w:rsidP="003E15C6">
      <w:pPr>
        <w:jc w:val="both"/>
      </w:pPr>
    </w:p>
    <w:p w:rsidR="002C0B07" w:rsidRDefault="002C0B07" w:rsidP="002C0B07">
      <w:pPr>
        <w:jc w:val="both"/>
      </w:pPr>
      <w:r>
        <w:t xml:space="preserve">To be clear, Indian water rights settlements </w:t>
      </w:r>
      <w:r w:rsidR="000E2F9B">
        <w:t xml:space="preserve">should not be categorized </w:t>
      </w:r>
      <w:r>
        <w:t xml:space="preserve">as “earmarks.”  The U.S. Supreme Court’s </w:t>
      </w:r>
      <w:proofErr w:type="gramStart"/>
      <w:r w:rsidRPr="00C265D3">
        <w:rPr>
          <w:i/>
        </w:rPr>
        <w:t>Winters</w:t>
      </w:r>
      <w:proofErr w:type="gramEnd"/>
      <w:r>
        <w:t xml:space="preserve"> doctrine establishes the senior rights of Indian tribes to water to fulfill reservation purposes.  Water rights and related resources ar</w:t>
      </w:r>
      <w:r w:rsidR="00FD7B5A">
        <w:t>e trust assets of t</w:t>
      </w:r>
      <w:r>
        <w:t xml:space="preserve">ribes, and water rights settlements enable the Federal government to protect and enhance those assets.  As described in this testimony, the Department has an established program that guides the process of negotiating Indian water rights settlements that satisfy federal criteria.  Under the </w:t>
      </w:r>
      <w:r w:rsidRPr="00FD7B5A">
        <w:rPr>
          <w:i/>
        </w:rPr>
        <w:t>Criteria and Procedures</w:t>
      </w:r>
      <w:r>
        <w:t>, the Administration carries out careful analysis of the appropriateness of the costs of the settlement.  Our support is not provided lightly; we have come to this Committee and testified regarding our concerns with proposed water rights settlements that we do not find to have met our requirements for reducing costs, including appropriate cost shares, and producing result</w:t>
      </w:r>
      <w:r w:rsidR="00786F42">
        <w:t>s</w:t>
      </w:r>
      <w:r>
        <w:t xml:space="preserve">.  Settlements that are approved through this process are not earmarks.   </w:t>
      </w:r>
    </w:p>
    <w:p w:rsidR="002C0B07" w:rsidRDefault="002C0B07" w:rsidP="002C0B07">
      <w:pPr>
        <w:jc w:val="both"/>
      </w:pPr>
    </w:p>
    <w:p w:rsidR="002C0B07" w:rsidRPr="002C0B07" w:rsidRDefault="004A20EA" w:rsidP="00BD165F">
      <w:pPr>
        <w:numPr>
          <w:ilvl w:val="0"/>
          <w:numId w:val="5"/>
        </w:numPr>
        <w:jc w:val="both"/>
        <w:rPr>
          <w:b/>
        </w:rPr>
      </w:pPr>
      <w:r>
        <w:rPr>
          <w:b/>
        </w:rPr>
        <w:t xml:space="preserve"> </w:t>
      </w:r>
      <w:r w:rsidR="002C0B07" w:rsidRPr="002C0B07">
        <w:rPr>
          <w:b/>
        </w:rPr>
        <w:t>Conclusion</w:t>
      </w:r>
    </w:p>
    <w:p w:rsidR="002C0B07" w:rsidRDefault="002C0B07" w:rsidP="002C0B07">
      <w:pPr>
        <w:jc w:val="both"/>
      </w:pPr>
    </w:p>
    <w:p w:rsidR="002C0B07" w:rsidRDefault="002C0B07" w:rsidP="002C0B07">
      <w:pPr>
        <w:jc w:val="both"/>
      </w:pPr>
      <w:r>
        <w:t>S</w:t>
      </w:r>
      <w:r w:rsidRPr="00C265D3">
        <w:t>tate</w:t>
      </w:r>
      <w:r>
        <w:t xml:space="preserve"> and local governments, as well as Indian tribes, favor water rights settlement because they </w:t>
      </w:r>
      <w:r w:rsidR="00936C42">
        <w:t xml:space="preserve">can be </w:t>
      </w:r>
      <w:r w:rsidR="000E2F9B">
        <w:t xml:space="preserve">directly involved </w:t>
      </w:r>
      <w:r w:rsidR="00786F42">
        <w:t>in shaping</w:t>
      </w:r>
      <w:r w:rsidR="000E2F9B">
        <w:t xml:space="preserve"> their own destinies, rather than having </w:t>
      </w:r>
      <w:r>
        <w:t xml:space="preserve">their fate to be decided by the stroke of a judge’s pen.  The Federal government should continue to encourage these local efforts to resolve outstanding issues and establish water management regimes that can be the basis for, rather than a drag upon, strong local economic development.  </w:t>
      </w:r>
    </w:p>
    <w:p w:rsidR="002C0B07" w:rsidRDefault="002C0B07" w:rsidP="003E15C6">
      <w:pPr>
        <w:jc w:val="both"/>
      </w:pPr>
    </w:p>
    <w:p w:rsidR="008E54F7" w:rsidRDefault="00A2267B" w:rsidP="003E15C6">
      <w:pPr>
        <w:jc w:val="both"/>
      </w:pPr>
      <w:r>
        <w:t>Protracted litigation does not, ultimately, provide solutions to the real problems that communities are facing</w:t>
      </w:r>
      <w:r w:rsidR="003E6CE3">
        <w:t xml:space="preserve">.  Indian water rights settlements can spur desperately needed cooperation. </w:t>
      </w:r>
      <w:r w:rsidR="006D0EF5">
        <w:t>From shortage sharing</w:t>
      </w:r>
      <w:r w:rsidR="003E6CE3">
        <w:t xml:space="preserve"> to water marketing to protection of instream flows, settlements allow people to identify the needed mechanisms to enable investments in a common future.  In addition to </w:t>
      </w:r>
      <w:r w:rsidR="00936C42">
        <w:t xml:space="preserve">establishing the basis for the courts to </w:t>
      </w:r>
      <w:r w:rsidR="003E6CE3">
        <w:t xml:space="preserve">decree rights, these settlements often include </w:t>
      </w:r>
      <w:r w:rsidR="006D0EF5">
        <w:t>infrastructure projects allowing tribes to make use of their water.  Recent settlements have provided for projects that will provide</w:t>
      </w:r>
      <w:r w:rsidR="003E6CE3">
        <w:t xml:space="preserve"> desperately needed access to safe drinking water</w:t>
      </w:r>
      <w:r w:rsidR="006D0EF5">
        <w:t xml:space="preserve"> on reservations.  These projects</w:t>
      </w:r>
      <w:r w:rsidR="00936C42">
        <w:t xml:space="preserve"> can</w:t>
      </w:r>
      <w:r w:rsidR="003E6CE3">
        <w:t xml:space="preserve"> impro</w:t>
      </w:r>
      <w:r w:rsidR="006D0EF5">
        <w:t>ve</w:t>
      </w:r>
      <w:r w:rsidR="003E6CE3">
        <w:t xml:space="preserve"> public health</w:t>
      </w:r>
      <w:r w:rsidR="00936C42">
        <w:t>,</w:t>
      </w:r>
      <w:r w:rsidR="003E6CE3">
        <w:t xml:space="preserve"> providing basic foundation</w:t>
      </w:r>
      <w:r w:rsidR="000A2EF6">
        <w:t>s</w:t>
      </w:r>
      <w:r w:rsidR="003E6CE3">
        <w:t xml:space="preserve"> for </w:t>
      </w:r>
      <w:r w:rsidR="006D0EF5">
        <w:t>improv</w:t>
      </w:r>
      <w:r w:rsidR="00936C42">
        <w:t>ing</w:t>
      </w:r>
      <w:r w:rsidR="006D0EF5">
        <w:t>, health indicators</w:t>
      </w:r>
      <w:r w:rsidR="00936C42">
        <w:t xml:space="preserve"> such as infant mortality rates</w:t>
      </w:r>
      <w:r w:rsidR="006D0EF5">
        <w:t>,</w:t>
      </w:r>
      <w:r w:rsidR="00936C42">
        <w:t xml:space="preserve"> and stimulating and sustaining</w:t>
      </w:r>
      <w:r w:rsidR="006D0EF5">
        <w:t xml:space="preserve"> </w:t>
      </w:r>
      <w:r w:rsidR="003E6CE3">
        <w:t>economic development and growth in tribal communities</w:t>
      </w:r>
      <w:r w:rsidR="006D0EF5">
        <w:t xml:space="preserve">.  </w:t>
      </w:r>
    </w:p>
    <w:p w:rsidR="002C0B07" w:rsidRDefault="002C0B07" w:rsidP="002C0B07">
      <w:pPr>
        <w:jc w:val="both"/>
      </w:pPr>
    </w:p>
    <w:p w:rsidR="002C0B07" w:rsidRPr="00F6140E" w:rsidRDefault="002C0B07" w:rsidP="002C0B07">
      <w:pPr>
        <w:jc w:val="both"/>
      </w:pPr>
      <w:r w:rsidRPr="00F6140E">
        <w:t xml:space="preserve">According to the Indian Health Service (IHS), today, less than 1 percent of the population in the United States is without access to safe water, while more than 12 percent of American Indian and </w:t>
      </w:r>
      <w:r w:rsidRPr="00F6140E">
        <w:lastRenderedPageBreak/>
        <w:t>Alaska Native homes are without access to safe water.</w:t>
      </w:r>
      <w:r w:rsidRPr="00F6140E">
        <w:rPr>
          <w:rStyle w:val="FootnoteReference"/>
        </w:rPr>
        <w:footnoteReference w:id="1"/>
      </w:r>
      <w:r w:rsidRPr="00F6140E">
        <w:t xml:space="preserve">  As a result, </w:t>
      </w:r>
      <w:r>
        <w:t>for the young and old</w:t>
      </w:r>
      <w:r w:rsidR="003253EF">
        <w:t>,</w:t>
      </w:r>
      <w:r>
        <w:t xml:space="preserve"> </w:t>
      </w:r>
      <w:r w:rsidRPr="00F6140E">
        <w:t>water-hauling is a way of life on</w:t>
      </w:r>
      <w:r w:rsidR="003364C3">
        <w:t xml:space="preserve"> some</w:t>
      </w:r>
      <w:r w:rsidRPr="00F6140E">
        <w:t xml:space="preserve"> reservations - a full-time job that limits economic opportunities and perpetuates a cycle of poverty. In these communities, tribal members routinely truck water from storage tanks at stock ponds, or other non-potable or contaminated sources, raising serious public health concerns.  </w:t>
      </w:r>
      <w:r>
        <w:t>A</w:t>
      </w:r>
      <w:r w:rsidRPr="00F6140E">
        <w:t>ccording to I</w:t>
      </w:r>
      <w:r>
        <w:t>H</w:t>
      </w:r>
      <w:r w:rsidRPr="00F6140E">
        <w:t>S, many of the homes without access to safe water are at an extremely high risk for gastrointestinal and respiratory diseases at rates similar to developing countries.</w:t>
      </w:r>
      <w:r>
        <w:rPr>
          <w:rStyle w:val="FootnoteReference"/>
        </w:rPr>
        <w:footnoteReference w:id="2"/>
      </w:r>
    </w:p>
    <w:p w:rsidR="008E54F7" w:rsidRDefault="008E54F7" w:rsidP="003E15C6">
      <w:pPr>
        <w:jc w:val="both"/>
      </w:pPr>
    </w:p>
    <w:p w:rsidR="00264773" w:rsidRDefault="002C0B07" w:rsidP="00AD0BAF">
      <w:pPr>
        <w:jc w:val="both"/>
      </w:pPr>
      <w:r>
        <w:t xml:space="preserve">In conclusion, I want to underscore how important this Administration believes these settlements </w:t>
      </w:r>
      <w:r w:rsidR="003253EF">
        <w:t xml:space="preserve">to </w:t>
      </w:r>
      <w:r>
        <w:t xml:space="preserve">be. Secretary Salazar is a strong supporter </w:t>
      </w:r>
      <w:r w:rsidR="00786F42">
        <w:t xml:space="preserve">of </w:t>
      </w:r>
      <w:r>
        <w:t xml:space="preserve">Indian water rights settlements, and he has been personally involved in efforts to make these settlements a reality.  As discussed in this testimony, </w:t>
      </w:r>
      <w:r w:rsidR="008E54F7">
        <w:t>Indian water rights settlements, when they are done right, produce</w:t>
      </w:r>
      <w:r w:rsidR="00594723">
        <w:t xml:space="preserve"> critical</w:t>
      </w:r>
      <w:r w:rsidR="008E54F7">
        <w:t xml:space="preserve"> benefits for </w:t>
      </w:r>
      <w:r w:rsidR="00107970">
        <w:t xml:space="preserve">tribes </w:t>
      </w:r>
      <w:r w:rsidR="00594723">
        <w:t xml:space="preserve">and </w:t>
      </w:r>
      <w:r>
        <w:t xml:space="preserve">bring together </w:t>
      </w:r>
      <w:r w:rsidR="00594723">
        <w:t xml:space="preserve">communities </w:t>
      </w:r>
      <w:r>
        <w:t xml:space="preserve">to </w:t>
      </w:r>
      <w:r w:rsidR="00594723">
        <w:t xml:space="preserve">improve water management practices in some of the most stressed water basins in the country.  </w:t>
      </w:r>
      <w:r w:rsidR="00107970">
        <w:t xml:space="preserve">Moreover, Indian water settlements ensure that Indian people have safe, reliable water supplies and the means to develop their homelands.  </w:t>
      </w:r>
      <w:r w:rsidR="00594723">
        <w:t>I hope that I have a chance to work with this Committee and with all the stakeholders assembled today on additional settlements that can accomplish these worthy goals.</w:t>
      </w:r>
    </w:p>
    <w:p w:rsidR="00BC5DA1" w:rsidRDefault="00BC5DA1" w:rsidP="00BC5DA1">
      <w:pPr>
        <w:jc w:val="both"/>
      </w:pPr>
    </w:p>
    <w:p w:rsidR="00F6140E" w:rsidRPr="00C47151" w:rsidRDefault="00F6140E" w:rsidP="00F6140E">
      <w:pPr>
        <w:jc w:val="both"/>
      </w:pPr>
    </w:p>
    <w:sectPr w:rsidR="00F6140E" w:rsidRPr="00C47151" w:rsidSect="001262A0">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366" w:rsidRDefault="002C7366">
      <w:r>
        <w:separator/>
      </w:r>
    </w:p>
  </w:endnote>
  <w:endnote w:type="continuationSeparator" w:id="0">
    <w:p w:rsidR="002C7366" w:rsidRDefault="002C73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Palatino-Roman">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C42" w:rsidRDefault="007B501C" w:rsidP="009140B3">
    <w:pPr>
      <w:pStyle w:val="Footer"/>
      <w:framePr w:wrap="around" w:vAnchor="text" w:hAnchor="margin" w:xAlign="center" w:y="1"/>
      <w:rPr>
        <w:rStyle w:val="PageNumber"/>
      </w:rPr>
    </w:pPr>
    <w:r>
      <w:rPr>
        <w:rStyle w:val="PageNumber"/>
      </w:rPr>
      <w:fldChar w:fldCharType="begin"/>
    </w:r>
    <w:r w:rsidR="00936C42">
      <w:rPr>
        <w:rStyle w:val="PageNumber"/>
      </w:rPr>
      <w:instrText xml:space="preserve">PAGE  </w:instrText>
    </w:r>
    <w:r>
      <w:rPr>
        <w:rStyle w:val="PageNumber"/>
      </w:rPr>
      <w:fldChar w:fldCharType="end"/>
    </w:r>
  </w:p>
  <w:p w:rsidR="00936C42" w:rsidRDefault="00936C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C42" w:rsidRDefault="007B501C" w:rsidP="009140B3">
    <w:pPr>
      <w:pStyle w:val="Footer"/>
      <w:framePr w:wrap="around" w:vAnchor="text" w:hAnchor="margin" w:xAlign="center" w:y="1"/>
      <w:rPr>
        <w:rStyle w:val="PageNumber"/>
      </w:rPr>
    </w:pPr>
    <w:r>
      <w:rPr>
        <w:rStyle w:val="PageNumber"/>
      </w:rPr>
      <w:fldChar w:fldCharType="begin"/>
    </w:r>
    <w:r w:rsidR="00936C42">
      <w:rPr>
        <w:rStyle w:val="PageNumber"/>
      </w:rPr>
      <w:instrText xml:space="preserve">PAGE  </w:instrText>
    </w:r>
    <w:r>
      <w:rPr>
        <w:rStyle w:val="PageNumber"/>
      </w:rPr>
      <w:fldChar w:fldCharType="separate"/>
    </w:r>
    <w:r w:rsidR="00F06D96">
      <w:rPr>
        <w:rStyle w:val="PageNumber"/>
        <w:noProof/>
      </w:rPr>
      <w:t>2</w:t>
    </w:r>
    <w:r>
      <w:rPr>
        <w:rStyle w:val="PageNumber"/>
      </w:rPr>
      <w:fldChar w:fldCharType="end"/>
    </w:r>
  </w:p>
  <w:p w:rsidR="00936C42" w:rsidRDefault="00936C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C42" w:rsidRPr="001262A0" w:rsidRDefault="007B501C">
    <w:pPr>
      <w:pStyle w:val="Footer"/>
      <w:jc w:val="right"/>
      <w:rPr>
        <w:sz w:val="22"/>
        <w:szCs w:val="22"/>
      </w:rPr>
    </w:pPr>
    <w:r w:rsidRPr="001262A0">
      <w:rPr>
        <w:sz w:val="22"/>
        <w:szCs w:val="22"/>
      </w:rPr>
      <w:fldChar w:fldCharType="begin"/>
    </w:r>
    <w:r w:rsidR="00936C42" w:rsidRPr="001262A0">
      <w:rPr>
        <w:sz w:val="22"/>
        <w:szCs w:val="22"/>
      </w:rPr>
      <w:instrText xml:space="preserve"> PAGE   \* MERGEFORMAT </w:instrText>
    </w:r>
    <w:r w:rsidRPr="001262A0">
      <w:rPr>
        <w:sz w:val="22"/>
        <w:szCs w:val="22"/>
      </w:rPr>
      <w:fldChar w:fldCharType="separate"/>
    </w:r>
    <w:r w:rsidR="00F06D96">
      <w:rPr>
        <w:noProof/>
        <w:sz w:val="22"/>
        <w:szCs w:val="22"/>
      </w:rPr>
      <w:t>1</w:t>
    </w:r>
    <w:r w:rsidRPr="001262A0">
      <w:rPr>
        <w:sz w:val="22"/>
        <w:szCs w:val="22"/>
      </w:rPr>
      <w:fldChar w:fldCharType="end"/>
    </w:r>
  </w:p>
  <w:p w:rsidR="00936C42" w:rsidRDefault="00936C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366" w:rsidRDefault="002C7366">
      <w:r>
        <w:separator/>
      </w:r>
    </w:p>
  </w:footnote>
  <w:footnote w:type="continuationSeparator" w:id="0">
    <w:p w:rsidR="002C7366" w:rsidRDefault="002C7366">
      <w:r>
        <w:continuationSeparator/>
      </w:r>
    </w:p>
  </w:footnote>
  <w:footnote w:id="1">
    <w:p w:rsidR="00936C42" w:rsidRDefault="00936C42" w:rsidP="002C0B07">
      <w:pPr>
        <w:pStyle w:val="FootnoteText"/>
      </w:pPr>
      <w:r>
        <w:rPr>
          <w:rStyle w:val="FootnoteReference"/>
        </w:rPr>
        <w:footnoteRef/>
      </w:r>
      <w:r>
        <w:t xml:space="preserve"> See Testimony of Robert </w:t>
      </w:r>
      <w:proofErr w:type="spellStart"/>
      <w:r>
        <w:t>McSwain</w:t>
      </w:r>
      <w:proofErr w:type="spellEnd"/>
      <w:r>
        <w:t xml:space="preserve">, Deputy Director, Management Operations, Indian Health Service, before the United States Senate Committee on Banking and Housing, Oversight Hearing on: </w:t>
      </w:r>
      <w:r w:rsidRPr="00F6140E">
        <w:rPr>
          <w:i/>
        </w:rPr>
        <w:t>Coordination between Federal Agencies Involved in Native American Housing and/or Infrastructure Development</w:t>
      </w:r>
      <w:r>
        <w:t xml:space="preserve"> (Mar. 8, 2012) at 4.</w:t>
      </w:r>
    </w:p>
  </w:footnote>
  <w:footnote w:id="2">
    <w:p w:rsidR="00936C42" w:rsidRDefault="00936C42" w:rsidP="002C0B07">
      <w:pPr>
        <w:pStyle w:val="FootnoteText"/>
      </w:pPr>
      <w:r>
        <w:rPr>
          <w:rStyle w:val="FootnoteReference"/>
        </w:rPr>
        <w:footnoteRef/>
      </w:r>
      <w:r>
        <w:t xml:space="preserve"> 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C42" w:rsidRDefault="00936C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94458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483448"/>
    <w:multiLevelType w:val="hybridMultilevel"/>
    <w:tmpl w:val="B754B2D0"/>
    <w:lvl w:ilvl="0" w:tplc="2996E9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B32154"/>
    <w:multiLevelType w:val="hybridMultilevel"/>
    <w:tmpl w:val="B83C79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DF377A"/>
    <w:multiLevelType w:val="hybridMultilevel"/>
    <w:tmpl w:val="59163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9C2036"/>
    <w:multiLevelType w:val="hybridMultilevel"/>
    <w:tmpl w:val="BD587FD0"/>
    <w:lvl w:ilvl="0" w:tplc="E21A7C50">
      <w:start w:val="1"/>
      <w:numFmt w:val="bullet"/>
      <w:lvlText w:val="•"/>
      <w:lvlJc w:val="left"/>
      <w:pPr>
        <w:tabs>
          <w:tab w:val="num" w:pos="720"/>
        </w:tabs>
        <w:ind w:left="720" w:hanging="360"/>
      </w:pPr>
      <w:rPr>
        <w:rFonts w:ascii="Arial" w:hAnsi="Arial" w:hint="default"/>
      </w:rPr>
    </w:lvl>
    <w:lvl w:ilvl="1" w:tplc="8B42D930" w:tentative="1">
      <w:start w:val="1"/>
      <w:numFmt w:val="bullet"/>
      <w:lvlText w:val="•"/>
      <w:lvlJc w:val="left"/>
      <w:pPr>
        <w:tabs>
          <w:tab w:val="num" w:pos="1440"/>
        </w:tabs>
        <w:ind w:left="1440" w:hanging="360"/>
      </w:pPr>
      <w:rPr>
        <w:rFonts w:ascii="Arial" w:hAnsi="Arial" w:hint="default"/>
      </w:rPr>
    </w:lvl>
    <w:lvl w:ilvl="2" w:tplc="ADC88816" w:tentative="1">
      <w:start w:val="1"/>
      <w:numFmt w:val="bullet"/>
      <w:lvlText w:val="•"/>
      <w:lvlJc w:val="left"/>
      <w:pPr>
        <w:tabs>
          <w:tab w:val="num" w:pos="2160"/>
        </w:tabs>
        <w:ind w:left="2160" w:hanging="360"/>
      </w:pPr>
      <w:rPr>
        <w:rFonts w:ascii="Arial" w:hAnsi="Arial" w:hint="default"/>
      </w:rPr>
    </w:lvl>
    <w:lvl w:ilvl="3" w:tplc="1DD03766" w:tentative="1">
      <w:start w:val="1"/>
      <w:numFmt w:val="bullet"/>
      <w:lvlText w:val="•"/>
      <w:lvlJc w:val="left"/>
      <w:pPr>
        <w:tabs>
          <w:tab w:val="num" w:pos="2880"/>
        </w:tabs>
        <w:ind w:left="2880" w:hanging="360"/>
      </w:pPr>
      <w:rPr>
        <w:rFonts w:ascii="Arial" w:hAnsi="Arial" w:hint="default"/>
      </w:rPr>
    </w:lvl>
    <w:lvl w:ilvl="4" w:tplc="D41CD4DA" w:tentative="1">
      <w:start w:val="1"/>
      <w:numFmt w:val="bullet"/>
      <w:lvlText w:val="•"/>
      <w:lvlJc w:val="left"/>
      <w:pPr>
        <w:tabs>
          <w:tab w:val="num" w:pos="3600"/>
        </w:tabs>
        <w:ind w:left="3600" w:hanging="360"/>
      </w:pPr>
      <w:rPr>
        <w:rFonts w:ascii="Arial" w:hAnsi="Arial" w:hint="default"/>
      </w:rPr>
    </w:lvl>
    <w:lvl w:ilvl="5" w:tplc="4720F238" w:tentative="1">
      <w:start w:val="1"/>
      <w:numFmt w:val="bullet"/>
      <w:lvlText w:val="•"/>
      <w:lvlJc w:val="left"/>
      <w:pPr>
        <w:tabs>
          <w:tab w:val="num" w:pos="4320"/>
        </w:tabs>
        <w:ind w:left="4320" w:hanging="360"/>
      </w:pPr>
      <w:rPr>
        <w:rFonts w:ascii="Arial" w:hAnsi="Arial" w:hint="default"/>
      </w:rPr>
    </w:lvl>
    <w:lvl w:ilvl="6" w:tplc="093EF1A6" w:tentative="1">
      <w:start w:val="1"/>
      <w:numFmt w:val="bullet"/>
      <w:lvlText w:val="•"/>
      <w:lvlJc w:val="left"/>
      <w:pPr>
        <w:tabs>
          <w:tab w:val="num" w:pos="5040"/>
        </w:tabs>
        <w:ind w:left="5040" w:hanging="360"/>
      </w:pPr>
      <w:rPr>
        <w:rFonts w:ascii="Arial" w:hAnsi="Arial" w:hint="default"/>
      </w:rPr>
    </w:lvl>
    <w:lvl w:ilvl="7" w:tplc="2BEED0BA" w:tentative="1">
      <w:start w:val="1"/>
      <w:numFmt w:val="bullet"/>
      <w:lvlText w:val="•"/>
      <w:lvlJc w:val="left"/>
      <w:pPr>
        <w:tabs>
          <w:tab w:val="num" w:pos="5760"/>
        </w:tabs>
        <w:ind w:left="5760" w:hanging="360"/>
      </w:pPr>
      <w:rPr>
        <w:rFonts w:ascii="Arial" w:hAnsi="Arial" w:hint="default"/>
      </w:rPr>
    </w:lvl>
    <w:lvl w:ilvl="8" w:tplc="FD762F98" w:tentative="1">
      <w:start w:val="1"/>
      <w:numFmt w:val="bullet"/>
      <w:lvlText w:val="•"/>
      <w:lvlJc w:val="left"/>
      <w:pPr>
        <w:tabs>
          <w:tab w:val="num" w:pos="6480"/>
        </w:tabs>
        <w:ind w:left="6480" w:hanging="360"/>
      </w:pPr>
      <w:rPr>
        <w:rFonts w:ascii="Arial" w:hAnsi="Arial" w:hint="default"/>
      </w:rPr>
    </w:lvl>
  </w:abstractNum>
  <w:abstractNum w:abstractNumId="5">
    <w:nsid w:val="60C05E8D"/>
    <w:multiLevelType w:val="hybridMultilevel"/>
    <w:tmpl w:val="39F82B2E"/>
    <w:lvl w:ilvl="0" w:tplc="72C0901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DE4F34"/>
    <w:multiLevelType w:val="hybridMultilevel"/>
    <w:tmpl w:val="A420C6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7170"/>
  </w:hdrShapeDefaults>
  <w:footnotePr>
    <w:footnote w:id="-1"/>
    <w:footnote w:id="0"/>
  </w:footnotePr>
  <w:endnotePr>
    <w:endnote w:id="-1"/>
    <w:endnote w:id="0"/>
  </w:endnotePr>
  <w:compat/>
  <w:rsids>
    <w:rsidRoot w:val="00452F81"/>
    <w:rsid w:val="00024673"/>
    <w:rsid w:val="00031AB8"/>
    <w:rsid w:val="000332A7"/>
    <w:rsid w:val="000338F0"/>
    <w:rsid w:val="00037147"/>
    <w:rsid w:val="0005114B"/>
    <w:rsid w:val="0006758C"/>
    <w:rsid w:val="0009154D"/>
    <w:rsid w:val="000A2EF6"/>
    <w:rsid w:val="000A46F3"/>
    <w:rsid w:val="000C1CFB"/>
    <w:rsid w:val="000C675E"/>
    <w:rsid w:val="000D768D"/>
    <w:rsid w:val="000E2F9B"/>
    <w:rsid w:val="00107970"/>
    <w:rsid w:val="00114BDA"/>
    <w:rsid w:val="001226FA"/>
    <w:rsid w:val="00125E03"/>
    <w:rsid w:val="001260D5"/>
    <w:rsid w:val="001262A0"/>
    <w:rsid w:val="00131D74"/>
    <w:rsid w:val="0013520F"/>
    <w:rsid w:val="00144C02"/>
    <w:rsid w:val="00154FE8"/>
    <w:rsid w:val="001825A4"/>
    <w:rsid w:val="001A41DD"/>
    <w:rsid w:val="001B79CA"/>
    <w:rsid w:val="001C1D48"/>
    <w:rsid w:val="001D2C07"/>
    <w:rsid w:val="001E31C5"/>
    <w:rsid w:val="001F1F44"/>
    <w:rsid w:val="001F4E0C"/>
    <w:rsid w:val="00216117"/>
    <w:rsid w:val="00225E54"/>
    <w:rsid w:val="00236FB6"/>
    <w:rsid w:val="00263879"/>
    <w:rsid w:val="00264773"/>
    <w:rsid w:val="002800F6"/>
    <w:rsid w:val="00282F67"/>
    <w:rsid w:val="00296851"/>
    <w:rsid w:val="00297CE0"/>
    <w:rsid w:val="002A0B50"/>
    <w:rsid w:val="002B2CE7"/>
    <w:rsid w:val="002C0B07"/>
    <w:rsid w:val="002C72B7"/>
    <w:rsid w:val="002C7366"/>
    <w:rsid w:val="002F1700"/>
    <w:rsid w:val="003253EF"/>
    <w:rsid w:val="00330F1A"/>
    <w:rsid w:val="003364C3"/>
    <w:rsid w:val="00336C4D"/>
    <w:rsid w:val="00342B44"/>
    <w:rsid w:val="00350012"/>
    <w:rsid w:val="0035556D"/>
    <w:rsid w:val="003705C9"/>
    <w:rsid w:val="00370AB0"/>
    <w:rsid w:val="0038087A"/>
    <w:rsid w:val="00390385"/>
    <w:rsid w:val="003A66F6"/>
    <w:rsid w:val="003B096D"/>
    <w:rsid w:val="003B2BF9"/>
    <w:rsid w:val="003B6A8E"/>
    <w:rsid w:val="003C5989"/>
    <w:rsid w:val="003E085F"/>
    <w:rsid w:val="003E15C6"/>
    <w:rsid w:val="003E26D9"/>
    <w:rsid w:val="003E6CE3"/>
    <w:rsid w:val="0040273E"/>
    <w:rsid w:val="0040422D"/>
    <w:rsid w:val="004044DF"/>
    <w:rsid w:val="00423921"/>
    <w:rsid w:val="00424FC4"/>
    <w:rsid w:val="00425C19"/>
    <w:rsid w:val="00430F82"/>
    <w:rsid w:val="004377C6"/>
    <w:rsid w:val="00452F81"/>
    <w:rsid w:val="0045389C"/>
    <w:rsid w:val="0047508D"/>
    <w:rsid w:val="00480D84"/>
    <w:rsid w:val="00490372"/>
    <w:rsid w:val="004A0671"/>
    <w:rsid w:val="004A20EA"/>
    <w:rsid w:val="004C57D9"/>
    <w:rsid w:val="004C6330"/>
    <w:rsid w:val="004D058F"/>
    <w:rsid w:val="004D6E0B"/>
    <w:rsid w:val="004E51E2"/>
    <w:rsid w:val="004F20AB"/>
    <w:rsid w:val="004F601F"/>
    <w:rsid w:val="004F6EF4"/>
    <w:rsid w:val="005004D8"/>
    <w:rsid w:val="0051729E"/>
    <w:rsid w:val="00520229"/>
    <w:rsid w:val="00543668"/>
    <w:rsid w:val="00551F1B"/>
    <w:rsid w:val="00561B19"/>
    <w:rsid w:val="00575319"/>
    <w:rsid w:val="00582621"/>
    <w:rsid w:val="0058569B"/>
    <w:rsid w:val="00594723"/>
    <w:rsid w:val="00596778"/>
    <w:rsid w:val="005968F1"/>
    <w:rsid w:val="005D0EF1"/>
    <w:rsid w:val="005E1346"/>
    <w:rsid w:val="005E3831"/>
    <w:rsid w:val="005E559D"/>
    <w:rsid w:val="00605CA4"/>
    <w:rsid w:val="00613D92"/>
    <w:rsid w:val="00630358"/>
    <w:rsid w:val="0064201E"/>
    <w:rsid w:val="00654764"/>
    <w:rsid w:val="006717A0"/>
    <w:rsid w:val="00675413"/>
    <w:rsid w:val="00682C98"/>
    <w:rsid w:val="00694FFB"/>
    <w:rsid w:val="006956EA"/>
    <w:rsid w:val="006A14A0"/>
    <w:rsid w:val="006D0EF5"/>
    <w:rsid w:val="006D1565"/>
    <w:rsid w:val="006E0174"/>
    <w:rsid w:val="006E31EF"/>
    <w:rsid w:val="006E3693"/>
    <w:rsid w:val="006E688B"/>
    <w:rsid w:val="006F09A4"/>
    <w:rsid w:val="0070489E"/>
    <w:rsid w:val="00711196"/>
    <w:rsid w:val="00717431"/>
    <w:rsid w:val="00717749"/>
    <w:rsid w:val="00722677"/>
    <w:rsid w:val="00723463"/>
    <w:rsid w:val="00725553"/>
    <w:rsid w:val="0073287E"/>
    <w:rsid w:val="00757AA8"/>
    <w:rsid w:val="00761429"/>
    <w:rsid w:val="007648B3"/>
    <w:rsid w:val="007852B7"/>
    <w:rsid w:val="00786F42"/>
    <w:rsid w:val="00792BD8"/>
    <w:rsid w:val="00796F45"/>
    <w:rsid w:val="007A741B"/>
    <w:rsid w:val="007B501C"/>
    <w:rsid w:val="007E7341"/>
    <w:rsid w:val="00803ED7"/>
    <w:rsid w:val="0081622B"/>
    <w:rsid w:val="00821175"/>
    <w:rsid w:val="0083056B"/>
    <w:rsid w:val="00830988"/>
    <w:rsid w:val="0083477C"/>
    <w:rsid w:val="008411FB"/>
    <w:rsid w:val="00847EF5"/>
    <w:rsid w:val="0086211C"/>
    <w:rsid w:val="00881AA2"/>
    <w:rsid w:val="0088204F"/>
    <w:rsid w:val="00884CF4"/>
    <w:rsid w:val="00887BA6"/>
    <w:rsid w:val="008C1F58"/>
    <w:rsid w:val="008E2D57"/>
    <w:rsid w:val="008E54F7"/>
    <w:rsid w:val="00914000"/>
    <w:rsid w:val="009140B3"/>
    <w:rsid w:val="00936C42"/>
    <w:rsid w:val="00943E3D"/>
    <w:rsid w:val="00962C57"/>
    <w:rsid w:val="009729C9"/>
    <w:rsid w:val="00986361"/>
    <w:rsid w:val="0099370A"/>
    <w:rsid w:val="00996498"/>
    <w:rsid w:val="009A15B8"/>
    <w:rsid w:val="009B2E59"/>
    <w:rsid w:val="009E102A"/>
    <w:rsid w:val="009E46AF"/>
    <w:rsid w:val="009F6365"/>
    <w:rsid w:val="00A131E5"/>
    <w:rsid w:val="00A22184"/>
    <w:rsid w:val="00A22478"/>
    <w:rsid w:val="00A2267B"/>
    <w:rsid w:val="00A2728B"/>
    <w:rsid w:val="00A37846"/>
    <w:rsid w:val="00A54DF1"/>
    <w:rsid w:val="00A65A14"/>
    <w:rsid w:val="00A81A36"/>
    <w:rsid w:val="00A912F3"/>
    <w:rsid w:val="00AB3AFB"/>
    <w:rsid w:val="00AD0BAF"/>
    <w:rsid w:val="00AD0CF3"/>
    <w:rsid w:val="00AD1859"/>
    <w:rsid w:val="00B2764F"/>
    <w:rsid w:val="00B332A0"/>
    <w:rsid w:val="00B40D78"/>
    <w:rsid w:val="00B6610F"/>
    <w:rsid w:val="00B9437C"/>
    <w:rsid w:val="00BA4A36"/>
    <w:rsid w:val="00BA60BC"/>
    <w:rsid w:val="00BC5DA1"/>
    <w:rsid w:val="00BC7118"/>
    <w:rsid w:val="00BD165F"/>
    <w:rsid w:val="00BE112B"/>
    <w:rsid w:val="00BE69A0"/>
    <w:rsid w:val="00BF1D66"/>
    <w:rsid w:val="00C01A75"/>
    <w:rsid w:val="00C073EA"/>
    <w:rsid w:val="00C1067D"/>
    <w:rsid w:val="00C117EE"/>
    <w:rsid w:val="00C13FB5"/>
    <w:rsid w:val="00C265D3"/>
    <w:rsid w:val="00C47151"/>
    <w:rsid w:val="00C5230A"/>
    <w:rsid w:val="00C65521"/>
    <w:rsid w:val="00C81BBC"/>
    <w:rsid w:val="00C83DAE"/>
    <w:rsid w:val="00C95EA5"/>
    <w:rsid w:val="00CA39D8"/>
    <w:rsid w:val="00CB2085"/>
    <w:rsid w:val="00CC0C19"/>
    <w:rsid w:val="00CC4CE0"/>
    <w:rsid w:val="00CD00D7"/>
    <w:rsid w:val="00CD7571"/>
    <w:rsid w:val="00CD7CB6"/>
    <w:rsid w:val="00CE6D21"/>
    <w:rsid w:val="00D05DF0"/>
    <w:rsid w:val="00D068B3"/>
    <w:rsid w:val="00D119AE"/>
    <w:rsid w:val="00D430C6"/>
    <w:rsid w:val="00D445F8"/>
    <w:rsid w:val="00D615F7"/>
    <w:rsid w:val="00D7425D"/>
    <w:rsid w:val="00D76463"/>
    <w:rsid w:val="00D918AB"/>
    <w:rsid w:val="00DA1D28"/>
    <w:rsid w:val="00DA6A69"/>
    <w:rsid w:val="00DF49F4"/>
    <w:rsid w:val="00DF5991"/>
    <w:rsid w:val="00E04D55"/>
    <w:rsid w:val="00E100E7"/>
    <w:rsid w:val="00E10CFB"/>
    <w:rsid w:val="00E14325"/>
    <w:rsid w:val="00E1598F"/>
    <w:rsid w:val="00E36C82"/>
    <w:rsid w:val="00E373E5"/>
    <w:rsid w:val="00E37A09"/>
    <w:rsid w:val="00E5293F"/>
    <w:rsid w:val="00E73CCF"/>
    <w:rsid w:val="00E835CB"/>
    <w:rsid w:val="00E90EB1"/>
    <w:rsid w:val="00E94A7A"/>
    <w:rsid w:val="00EA119A"/>
    <w:rsid w:val="00EA1DF9"/>
    <w:rsid w:val="00EC3F14"/>
    <w:rsid w:val="00EE3E84"/>
    <w:rsid w:val="00F003C8"/>
    <w:rsid w:val="00F06D96"/>
    <w:rsid w:val="00F1024D"/>
    <w:rsid w:val="00F133F8"/>
    <w:rsid w:val="00F57691"/>
    <w:rsid w:val="00F6140E"/>
    <w:rsid w:val="00F61DF6"/>
    <w:rsid w:val="00F66768"/>
    <w:rsid w:val="00F70DF1"/>
    <w:rsid w:val="00F81B91"/>
    <w:rsid w:val="00F86373"/>
    <w:rsid w:val="00FB12A2"/>
    <w:rsid w:val="00FB1684"/>
    <w:rsid w:val="00FB5CBD"/>
    <w:rsid w:val="00FB67C8"/>
    <w:rsid w:val="00FC25AB"/>
    <w:rsid w:val="00FD7B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38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52F81"/>
    <w:pPr>
      <w:spacing w:before="100" w:beforeAutospacing="1" w:after="100" w:afterAutospacing="1"/>
    </w:pPr>
  </w:style>
  <w:style w:type="paragraph" w:styleId="Footer">
    <w:name w:val="footer"/>
    <w:basedOn w:val="Normal"/>
    <w:link w:val="FooterChar"/>
    <w:uiPriority w:val="99"/>
    <w:rsid w:val="00CD7CB6"/>
    <w:pPr>
      <w:tabs>
        <w:tab w:val="center" w:pos="4320"/>
        <w:tab w:val="right" w:pos="8640"/>
      </w:tabs>
    </w:pPr>
  </w:style>
  <w:style w:type="character" w:styleId="PageNumber">
    <w:name w:val="page number"/>
    <w:basedOn w:val="DefaultParagraphFont"/>
    <w:rsid w:val="00CD7CB6"/>
  </w:style>
  <w:style w:type="paragraph" w:styleId="FootnoteText">
    <w:name w:val="footnote text"/>
    <w:basedOn w:val="Normal"/>
    <w:semiHidden/>
    <w:rsid w:val="004E51E2"/>
    <w:rPr>
      <w:sz w:val="20"/>
      <w:szCs w:val="20"/>
    </w:rPr>
  </w:style>
  <w:style w:type="character" w:styleId="FootnoteReference">
    <w:name w:val="footnote reference"/>
    <w:semiHidden/>
    <w:rsid w:val="004E51E2"/>
    <w:rPr>
      <w:vertAlign w:val="superscript"/>
    </w:rPr>
  </w:style>
  <w:style w:type="paragraph" w:styleId="BalloonText">
    <w:name w:val="Balloon Text"/>
    <w:basedOn w:val="Normal"/>
    <w:semiHidden/>
    <w:rsid w:val="00114BDA"/>
    <w:rPr>
      <w:rFonts w:ascii="Tahoma" w:hAnsi="Tahoma" w:cs="Tahoma"/>
      <w:sz w:val="16"/>
      <w:szCs w:val="16"/>
    </w:rPr>
  </w:style>
  <w:style w:type="character" w:styleId="CommentReference">
    <w:name w:val="annotation reference"/>
    <w:semiHidden/>
    <w:rsid w:val="00962C57"/>
    <w:rPr>
      <w:sz w:val="16"/>
      <w:szCs w:val="16"/>
    </w:rPr>
  </w:style>
  <w:style w:type="paragraph" w:styleId="CommentText">
    <w:name w:val="annotation text"/>
    <w:basedOn w:val="Normal"/>
    <w:link w:val="CommentTextChar"/>
    <w:semiHidden/>
    <w:rsid w:val="00962C57"/>
    <w:rPr>
      <w:sz w:val="20"/>
      <w:szCs w:val="20"/>
    </w:rPr>
  </w:style>
  <w:style w:type="paragraph" w:styleId="CommentSubject">
    <w:name w:val="annotation subject"/>
    <w:basedOn w:val="CommentText"/>
    <w:next w:val="CommentText"/>
    <w:semiHidden/>
    <w:rsid w:val="00962C57"/>
    <w:rPr>
      <w:b/>
      <w:bCs/>
    </w:rPr>
  </w:style>
  <w:style w:type="paragraph" w:styleId="Header">
    <w:name w:val="header"/>
    <w:basedOn w:val="Normal"/>
    <w:link w:val="HeaderChar"/>
    <w:rsid w:val="001262A0"/>
    <w:pPr>
      <w:tabs>
        <w:tab w:val="center" w:pos="4680"/>
        <w:tab w:val="right" w:pos="9360"/>
      </w:tabs>
    </w:pPr>
  </w:style>
  <w:style w:type="character" w:customStyle="1" w:styleId="HeaderChar">
    <w:name w:val="Header Char"/>
    <w:link w:val="Header"/>
    <w:rsid w:val="001262A0"/>
    <w:rPr>
      <w:sz w:val="24"/>
      <w:szCs w:val="24"/>
    </w:rPr>
  </w:style>
  <w:style w:type="character" w:customStyle="1" w:styleId="FooterChar">
    <w:name w:val="Footer Char"/>
    <w:link w:val="Footer"/>
    <w:uiPriority w:val="99"/>
    <w:rsid w:val="001262A0"/>
    <w:rPr>
      <w:sz w:val="24"/>
      <w:szCs w:val="24"/>
    </w:rPr>
  </w:style>
  <w:style w:type="paragraph" w:customStyle="1" w:styleId="Default">
    <w:name w:val="Default"/>
    <w:rsid w:val="00BE69A0"/>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5968F1"/>
    <w:rPr>
      <w:rFonts w:ascii="Consolas" w:eastAsia="Calibri" w:hAnsi="Consolas"/>
      <w:sz w:val="21"/>
      <w:szCs w:val="21"/>
    </w:rPr>
  </w:style>
  <w:style w:type="character" w:customStyle="1" w:styleId="PlainTextChar">
    <w:name w:val="Plain Text Char"/>
    <w:link w:val="PlainText"/>
    <w:uiPriority w:val="99"/>
    <w:rsid w:val="005968F1"/>
    <w:rPr>
      <w:rFonts w:ascii="Consolas" w:eastAsia="Calibri" w:hAnsi="Consolas"/>
      <w:sz w:val="21"/>
      <w:szCs w:val="21"/>
    </w:rPr>
  </w:style>
  <w:style w:type="paragraph" w:customStyle="1" w:styleId="ColorfulList-Accent11">
    <w:name w:val="Colorful List - Accent 11"/>
    <w:basedOn w:val="Normal"/>
    <w:uiPriority w:val="34"/>
    <w:qFormat/>
    <w:rsid w:val="005968F1"/>
    <w:pPr>
      <w:ind w:left="720"/>
    </w:pPr>
    <w:rPr>
      <w:rFonts w:eastAsia="Calibri"/>
    </w:rPr>
  </w:style>
  <w:style w:type="character" w:styleId="Hyperlink">
    <w:name w:val="Hyperlink"/>
    <w:rsid w:val="006717A0"/>
    <w:rPr>
      <w:color w:val="0000FF"/>
      <w:u w:val="single"/>
    </w:rPr>
  </w:style>
  <w:style w:type="paragraph" w:customStyle="1" w:styleId="POBBodyText">
    <w:name w:val="POB_Body Text"/>
    <w:basedOn w:val="Normal"/>
    <w:uiPriority w:val="99"/>
    <w:rsid w:val="00264773"/>
    <w:pPr>
      <w:autoSpaceDE w:val="0"/>
      <w:autoSpaceDN w:val="0"/>
      <w:spacing w:line="240" w:lineRule="atLeast"/>
      <w:jc w:val="both"/>
    </w:pPr>
    <w:rPr>
      <w:rFonts w:ascii="Palatino-Roman" w:eastAsia="Calibri" w:hAnsi="Palatino-Roman"/>
      <w:color w:val="000000"/>
      <w:sz w:val="22"/>
      <w:szCs w:val="22"/>
    </w:rPr>
  </w:style>
  <w:style w:type="character" w:styleId="Strong">
    <w:name w:val="Strong"/>
    <w:uiPriority w:val="22"/>
    <w:qFormat/>
    <w:rsid w:val="00725553"/>
    <w:rPr>
      <w:b/>
      <w:bCs/>
    </w:rPr>
  </w:style>
  <w:style w:type="paragraph" w:styleId="ListParagraph">
    <w:name w:val="List Paragraph"/>
    <w:basedOn w:val="Normal"/>
    <w:uiPriority w:val="34"/>
    <w:qFormat/>
    <w:rsid w:val="00CE6D21"/>
    <w:pPr>
      <w:ind w:left="720"/>
    </w:pPr>
  </w:style>
  <w:style w:type="character" w:customStyle="1" w:styleId="st1">
    <w:name w:val="st1"/>
    <w:rsid w:val="00936C42"/>
  </w:style>
  <w:style w:type="character" w:customStyle="1" w:styleId="CommentTextChar">
    <w:name w:val="Comment Text Char"/>
    <w:basedOn w:val="DefaultParagraphFont"/>
    <w:link w:val="CommentText"/>
    <w:semiHidden/>
    <w:rsid w:val="00131D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uiPriority w:val="99"/>
    <w:rsid w:val="00452F81"/>
    <w:pPr>
      <w:spacing w:before="100" w:beforeAutospacing="1" w:after="100" w:afterAutospacing="1"/>
    </w:pPr>
  </w:style>
  <w:style w:type="paragraph" w:styleId="Footer">
    <w:name w:val="footer"/>
    <w:basedOn w:val="Normal"/>
    <w:link w:val="FooterChar"/>
    <w:uiPriority w:val="99"/>
    <w:rsid w:val="00CD7CB6"/>
    <w:pPr>
      <w:tabs>
        <w:tab w:val="center" w:pos="4320"/>
        <w:tab w:val="right" w:pos="8640"/>
      </w:tabs>
    </w:pPr>
    <w:rPr>
      <w:lang w:val="x-none" w:eastAsia="x-none"/>
    </w:rPr>
  </w:style>
  <w:style w:type="character" w:styleId="PageNumber">
    <w:name w:val="page number"/>
    <w:basedOn w:val="DefaultParagraphFont"/>
    <w:rsid w:val="00CD7CB6"/>
  </w:style>
  <w:style w:type="paragraph" w:styleId="FootnoteText">
    <w:name w:val="footnote text"/>
    <w:basedOn w:val="Normal"/>
    <w:semiHidden/>
    <w:rsid w:val="004E51E2"/>
    <w:rPr>
      <w:sz w:val="20"/>
      <w:szCs w:val="20"/>
    </w:rPr>
  </w:style>
  <w:style w:type="character" w:styleId="FootnoteReference">
    <w:name w:val="footnote reference"/>
    <w:semiHidden/>
    <w:rsid w:val="004E51E2"/>
    <w:rPr>
      <w:vertAlign w:val="superscript"/>
    </w:rPr>
  </w:style>
  <w:style w:type="paragraph" w:styleId="BalloonText">
    <w:name w:val="Balloon Text"/>
    <w:basedOn w:val="Normal"/>
    <w:semiHidden/>
    <w:rsid w:val="00114BDA"/>
    <w:rPr>
      <w:rFonts w:ascii="Tahoma" w:hAnsi="Tahoma" w:cs="Tahoma"/>
      <w:sz w:val="16"/>
      <w:szCs w:val="16"/>
    </w:rPr>
  </w:style>
  <w:style w:type="character" w:styleId="CommentReference">
    <w:name w:val="annotation reference"/>
    <w:semiHidden/>
    <w:rsid w:val="00962C57"/>
    <w:rPr>
      <w:sz w:val="16"/>
      <w:szCs w:val="16"/>
    </w:rPr>
  </w:style>
  <w:style w:type="paragraph" w:styleId="CommentText">
    <w:name w:val="annotation text"/>
    <w:basedOn w:val="Normal"/>
    <w:semiHidden/>
    <w:rsid w:val="00962C57"/>
    <w:rPr>
      <w:sz w:val="20"/>
      <w:szCs w:val="20"/>
    </w:rPr>
  </w:style>
  <w:style w:type="paragraph" w:styleId="CommentSubject">
    <w:name w:val="annotation subject"/>
    <w:basedOn w:val="CommentText"/>
    <w:next w:val="CommentText"/>
    <w:semiHidden/>
    <w:rsid w:val="00962C57"/>
    <w:rPr>
      <w:b/>
      <w:bCs/>
    </w:rPr>
  </w:style>
  <w:style w:type="paragraph" w:styleId="Header">
    <w:name w:val="header"/>
    <w:basedOn w:val="Normal"/>
    <w:link w:val="HeaderChar"/>
    <w:rsid w:val="001262A0"/>
    <w:pPr>
      <w:tabs>
        <w:tab w:val="center" w:pos="4680"/>
        <w:tab w:val="right" w:pos="9360"/>
      </w:tabs>
    </w:pPr>
    <w:rPr>
      <w:lang w:val="x-none" w:eastAsia="x-none"/>
    </w:rPr>
  </w:style>
  <w:style w:type="character" w:customStyle="1" w:styleId="HeaderChar">
    <w:name w:val="Header Char"/>
    <w:link w:val="Header"/>
    <w:rsid w:val="001262A0"/>
    <w:rPr>
      <w:sz w:val="24"/>
      <w:szCs w:val="24"/>
    </w:rPr>
  </w:style>
  <w:style w:type="character" w:customStyle="1" w:styleId="FooterChar">
    <w:name w:val="Footer Char"/>
    <w:link w:val="Footer"/>
    <w:uiPriority w:val="99"/>
    <w:rsid w:val="001262A0"/>
    <w:rPr>
      <w:sz w:val="24"/>
      <w:szCs w:val="24"/>
    </w:rPr>
  </w:style>
  <w:style w:type="paragraph" w:customStyle="1" w:styleId="Default">
    <w:name w:val="Default"/>
    <w:rsid w:val="00BE69A0"/>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5968F1"/>
    <w:rPr>
      <w:rFonts w:ascii="Consolas" w:eastAsia="Calibri" w:hAnsi="Consolas"/>
      <w:sz w:val="21"/>
      <w:szCs w:val="21"/>
      <w:lang w:val="x-none" w:eastAsia="x-none"/>
    </w:rPr>
  </w:style>
  <w:style w:type="character" w:customStyle="1" w:styleId="PlainTextChar">
    <w:name w:val="Plain Text Char"/>
    <w:link w:val="PlainText"/>
    <w:uiPriority w:val="99"/>
    <w:rsid w:val="005968F1"/>
    <w:rPr>
      <w:rFonts w:ascii="Consolas" w:eastAsia="Calibri" w:hAnsi="Consolas"/>
      <w:sz w:val="21"/>
      <w:szCs w:val="21"/>
    </w:rPr>
  </w:style>
  <w:style w:type="paragraph" w:styleId="ColorfulList-Accent1">
    <w:name w:val="Colorful List Accent 1"/>
    <w:basedOn w:val="Normal"/>
    <w:uiPriority w:val="34"/>
    <w:qFormat/>
    <w:rsid w:val="005968F1"/>
    <w:pPr>
      <w:ind w:left="720"/>
    </w:pPr>
    <w:rPr>
      <w:rFonts w:eastAsia="Calibri"/>
    </w:rPr>
  </w:style>
  <w:style w:type="character" w:styleId="Hyperlink">
    <w:name w:val="Hyperlink"/>
    <w:rsid w:val="006717A0"/>
    <w:rPr>
      <w:color w:val="0000FF"/>
      <w:u w:val="single"/>
    </w:rPr>
  </w:style>
  <w:style w:type="paragraph" w:customStyle="1" w:styleId="POBBodyText">
    <w:name w:val="POB_Body Text"/>
    <w:basedOn w:val="Normal"/>
    <w:uiPriority w:val="99"/>
    <w:rsid w:val="00264773"/>
    <w:pPr>
      <w:autoSpaceDE w:val="0"/>
      <w:autoSpaceDN w:val="0"/>
      <w:spacing w:line="240" w:lineRule="atLeast"/>
      <w:jc w:val="both"/>
    </w:pPr>
    <w:rPr>
      <w:rFonts w:ascii="Palatino-Roman" w:eastAsia="Calibri" w:hAnsi="Palatino-Roman"/>
      <w:color w:val="000000"/>
      <w:sz w:val="22"/>
      <w:szCs w:val="22"/>
    </w:rPr>
  </w:style>
  <w:style w:type="character" w:styleId="Strong">
    <w:name w:val="Strong"/>
    <w:uiPriority w:val="22"/>
    <w:qFormat/>
    <w:rsid w:val="00725553"/>
    <w:rPr>
      <w:b/>
      <w:bCs/>
    </w:rPr>
  </w:style>
  <w:style w:type="paragraph" w:styleId="ListParagraph">
    <w:name w:val="List Paragraph"/>
    <w:basedOn w:val="Normal"/>
    <w:uiPriority w:val="34"/>
    <w:qFormat/>
    <w:rsid w:val="00CE6D21"/>
    <w:pPr>
      <w:ind w:left="720"/>
    </w:pPr>
  </w:style>
  <w:style w:type="character" w:customStyle="1" w:styleId="st1">
    <w:name w:val="st1"/>
    <w:rsid w:val="00936C42"/>
  </w:style>
</w:styles>
</file>

<file path=word/webSettings.xml><?xml version="1.0" encoding="utf-8"?>
<w:webSettings xmlns:r="http://schemas.openxmlformats.org/officeDocument/2006/relationships" xmlns:w="http://schemas.openxmlformats.org/wordprocessingml/2006/main">
  <w:divs>
    <w:div w:id="30502031">
      <w:bodyDiv w:val="1"/>
      <w:marLeft w:val="0"/>
      <w:marRight w:val="0"/>
      <w:marTop w:val="0"/>
      <w:marBottom w:val="0"/>
      <w:divBdr>
        <w:top w:val="none" w:sz="0" w:space="0" w:color="auto"/>
        <w:left w:val="none" w:sz="0" w:space="0" w:color="auto"/>
        <w:bottom w:val="none" w:sz="0" w:space="0" w:color="auto"/>
        <w:right w:val="none" w:sz="0" w:space="0" w:color="auto"/>
      </w:divBdr>
    </w:div>
    <w:div w:id="154808149">
      <w:bodyDiv w:val="1"/>
      <w:marLeft w:val="0"/>
      <w:marRight w:val="0"/>
      <w:marTop w:val="0"/>
      <w:marBottom w:val="0"/>
      <w:divBdr>
        <w:top w:val="none" w:sz="0" w:space="0" w:color="auto"/>
        <w:left w:val="none" w:sz="0" w:space="0" w:color="auto"/>
        <w:bottom w:val="none" w:sz="0" w:space="0" w:color="auto"/>
        <w:right w:val="none" w:sz="0" w:space="0" w:color="auto"/>
      </w:divBdr>
    </w:div>
    <w:div w:id="471945673">
      <w:bodyDiv w:val="1"/>
      <w:marLeft w:val="0"/>
      <w:marRight w:val="0"/>
      <w:marTop w:val="0"/>
      <w:marBottom w:val="0"/>
      <w:divBdr>
        <w:top w:val="none" w:sz="0" w:space="0" w:color="auto"/>
        <w:left w:val="none" w:sz="0" w:space="0" w:color="auto"/>
        <w:bottom w:val="none" w:sz="0" w:space="0" w:color="auto"/>
        <w:right w:val="none" w:sz="0" w:space="0" w:color="auto"/>
      </w:divBdr>
    </w:div>
    <w:div w:id="677123196">
      <w:bodyDiv w:val="1"/>
      <w:marLeft w:val="0"/>
      <w:marRight w:val="0"/>
      <w:marTop w:val="0"/>
      <w:marBottom w:val="0"/>
      <w:divBdr>
        <w:top w:val="none" w:sz="0" w:space="0" w:color="auto"/>
        <w:left w:val="none" w:sz="0" w:space="0" w:color="auto"/>
        <w:bottom w:val="none" w:sz="0" w:space="0" w:color="auto"/>
        <w:right w:val="none" w:sz="0" w:space="0" w:color="auto"/>
      </w:divBdr>
      <w:divsChild>
        <w:div w:id="1368291551">
          <w:marLeft w:val="0"/>
          <w:marRight w:val="0"/>
          <w:marTop w:val="0"/>
          <w:marBottom w:val="0"/>
          <w:divBdr>
            <w:top w:val="none" w:sz="0" w:space="0" w:color="auto"/>
            <w:left w:val="none" w:sz="0" w:space="0" w:color="auto"/>
            <w:bottom w:val="none" w:sz="0" w:space="0" w:color="auto"/>
            <w:right w:val="none" w:sz="0" w:space="0" w:color="auto"/>
          </w:divBdr>
          <w:divsChild>
            <w:div w:id="1656566216">
              <w:marLeft w:val="2232"/>
              <w:marRight w:val="0"/>
              <w:marTop w:val="0"/>
              <w:marBottom w:val="0"/>
              <w:divBdr>
                <w:top w:val="none" w:sz="0" w:space="0" w:color="auto"/>
                <w:left w:val="none" w:sz="0" w:space="0" w:color="auto"/>
                <w:bottom w:val="none" w:sz="0" w:space="0" w:color="auto"/>
                <w:right w:val="none" w:sz="0" w:space="0" w:color="auto"/>
              </w:divBdr>
              <w:divsChild>
                <w:div w:id="489295886">
                  <w:marLeft w:val="0"/>
                  <w:marRight w:val="0"/>
                  <w:marTop w:val="0"/>
                  <w:marBottom w:val="0"/>
                  <w:divBdr>
                    <w:top w:val="none" w:sz="0" w:space="0" w:color="auto"/>
                    <w:left w:val="none" w:sz="0" w:space="0" w:color="auto"/>
                    <w:bottom w:val="none" w:sz="0" w:space="0" w:color="auto"/>
                    <w:right w:val="none" w:sz="0" w:space="0" w:color="auto"/>
                  </w:divBdr>
                  <w:divsChild>
                    <w:div w:id="1261837985">
                      <w:marLeft w:val="0"/>
                      <w:marRight w:val="0"/>
                      <w:marTop w:val="0"/>
                      <w:marBottom w:val="0"/>
                      <w:divBdr>
                        <w:top w:val="none" w:sz="0" w:space="0" w:color="auto"/>
                        <w:left w:val="none" w:sz="0" w:space="0" w:color="auto"/>
                        <w:bottom w:val="none" w:sz="0" w:space="0" w:color="auto"/>
                        <w:right w:val="none" w:sz="0" w:space="0" w:color="auto"/>
                      </w:divBdr>
                      <w:divsChild>
                        <w:div w:id="937834875">
                          <w:marLeft w:val="0"/>
                          <w:marRight w:val="0"/>
                          <w:marTop w:val="0"/>
                          <w:marBottom w:val="0"/>
                          <w:divBdr>
                            <w:top w:val="none" w:sz="0" w:space="0" w:color="auto"/>
                            <w:left w:val="none" w:sz="0" w:space="0" w:color="auto"/>
                            <w:bottom w:val="none" w:sz="0" w:space="0" w:color="auto"/>
                            <w:right w:val="none" w:sz="0" w:space="0" w:color="auto"/>
                          </w:divBdr>
                          <w:divsChild>
                            <w:div w:id="1565489962">
                              <w:marLeft w:val="0"/>
                              <w:marRight w:val="0"/>
                              <w:marTop w:val="0"/>
                              <w:marBottom w:val="0"/>
                              <w:divBdr>
                                <w:top w:val="none" w:sz="0" w:space="0" w:color="auto"/>
                                <w:left w:val="none" w:sz="0" w:space="0" w:color="auto"/>
                                <w:bottom w:val="none" w:sz="0" w:space="0" w:color="auto"/>
                                <w:right w:val="none" w:sz="0" w:space="0" w:color="auto"/>
                              </w:divBdr>
                              <w:divsChild>
                                <w:div w:id="1641157272">
                                  <w:marLeft w:val="0"/>
                                  <w:marRight w:val="0"/>
                                  <w:marTop w:val="0"/>
                                  <w:marBottom w:val="0"/>
                                  <w:divBdr>
                                    <w:top w:val="none" w:sz="0" w:space="0" w:color="auto"/>
                                    <w:left w:val="none" w:sz="0" w:space="0" w:color="auto"/>
                                    <w:bottom w:val="none" w:sz="0" w:space="0" w:color="auto"/>
                                    <w:right w:val="none" w:sz="0" w:space="0" w:color="auto"/>
                                  </w:divBdr>
                                  <w:divsChild>
                                    <w:div w:id="133525848">
                                      <w:marLeft w:val="0"/>
                                      <w:marRight w:val="0"/>
                                      <w:marTop w:val="0"/>
                                      <w:marBottom w:val="0"/>
                                      <w:divBdr>
                                        <w:top w:val="none" w:sz="0" w:space="0" w:color="auto"/>
                                        <w:left w:val="none" w:sz="0" w:space="0" w:color="auto"/>
                                        <w:bottom w:val="none" w:sz="0" w:space="0" w:color="auto"/>
                                        <w:right w:val="none" w:sz="0" w:space="0" w:color="auto"/>
                                      </w:divBdr>
                                      <w:divsChild>
                                        <w:div w:id="1441485520">
                                          <w:marLeft w:val="0"/>
                                          <w:marRight w:val="0"/>
                                          <w:marTop w:val="0"/>
                                          <w:marBottom w:val="0"/>
                                          <w:divBdr>
                                            <w:top w:val="none" w:sz="0" w:space="0" w:color="auto"/>
                                            <w:left w:val="none" w:sz="0" w:space="0" w:color="auto"/>
                                            <w:bottom w:val="none" w:sz="0" w:space="0" w:color="auto"/>
                                            <w:right w:val="none" w:sz="0" w:space="0" w:color="auto"/>
                                          </w:divBdr>
                                          <w:divsChild>
                                            <w:div w:id="1036395745">
                                              <w:marLeft w:val="0"/>
                                              <w:marRight w:val="0"/>
                                              <w:marTop w:val="0"/>
                                              <w:marBottom w:val="0"/>
                                              <w:divBdr>
                                                <w:top w:val="none" w:sz="0" w:space="0" w:color="auto"/>
                                                <w:left w:val="none" w:sz="0" w:space="0" w:color="auto"/>
                                                <w:bottom w:val="none" w:sz="0" w:space="0" w:color="auto"/>
                                                <w:right w:val="none" w:sz="0" w:space="0" w:color="auto"/>
                                              </w:divBdr>
                                              <w:divsChild>
                                                <w:div w:id="10316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0374313">
      <w:bodyDiv w:val="1"/>
      <w:marLeft w:val="0"/>
      <w:marRight w:val="0"/>
      <w:marTop w:val="0"/>
      <w:marBottom w:val="0"/>
      <w:divBdr>
        <w:top w:val="none" w:sz="0" w:space="0" w:color="auto"/>
        <w:left w:val="none" w:sz="0" w:space="0" w:color="auto"/>
        <w:bottom w:val="none" w:sz="0" w:space="0" w:color="auto"/>
        <w:right w:val="none" w:sz="0" w:space="0" w:color="auto"/>
      </w:divBdr>
      <w:divsChild>
        <w:div w:id="1081563290">
          <w:marLeft w:val="0"/>
          <w:marRight w:val="0"/>
          <w:marTop w:val="0"/>
          <w:marBottom w:val="0"/>
          <w:divBdr>
            <w:top w:val="none" w:sz="0" w:space="0" w:color="auto"/>
            <w:left w:val="none" w:sz="0" w:space="0" w:color="auto"/>
            <w:bottom w:val="none" w:sz="0" w:space="0" w:color="auto"/>
            <w:right w:val="none" w:sz="0" w:space="0" w:color="auto"/>
          </w:divBdr>
          <w:divsChild>
            <w:div w:id="1533028680">
              <w:marLeft w:val="0"/>
              <w:marRight w:val="0"/>
              <w:marTop w:val="0"/>
              <w:marBottom w:val="0"/>
              <w:divBdr>
                <w:top w:val="none" w:sz="0" w:space="0" w:color="auto"/>
                <w:left w:val="none" w:sz="0" w:space="0" w:color="auto"/>
                <w:bottom w:val="none" w:sz="0" w:space="0" w:color="auto"/>
                <w:right w:val="none" w:sz="0" w:space="0" w:color="auto"/>
              </w:divBdr>
              <w:divsChild>
                <w:div w:id="1620647904">
                  <w:marLeft w:val="0"/>
                  <w:marRight w:val="0"/>
                  <w:marTop w:val="0"/>
                  <w:marBottom w:val="0"/>
                  <w:divBdr>
                    <w:top w:val="none" w:sz="0" w:space="0" w:color="auto"/>
                    <w:left w:val="none" w:sz="0" w:space="0" w:color="auto"/>
                    <w:bottom w:val="none" w:sz="0" w:space="0" w:color="auto"/>
                    <w:right w:val="none" w:sz="0" w:space="0" w:color="auto"/>
                  </w:divBdr>
                  <w:divsChild>
                    <w:div w:id="1219828453">
                      <w:marLeft w:val="0"/>
                      <w:marRight w:val="0"/>
                      <w:marTop w:val="0"/>
                      <w:marBottom w:val="0"/>
                      <w:divBdr>
                        <w:top w:val="none" w:sz="0" w:space="0" w:color="auto"/>
                        <w:left w:val="none" w:sz="0" w:space="0" w:color="auto"/>
                        <w:bottom w:val="none" w:sz="0" w:space="0" w:color="auto"/>
                        <w:right w:val="none" w:sz="0" w:space="0" w:color="auto"/>
                      </w:divBdr>
                      <w:divsChild>
                        <w:div w:id="545987718">
                          <w:marLeft w:val="0"/>
                          <w:marRight w:val="0"/>
                          <w:marTop w:val="0"/>
                          <w:marBottom w:val="0"/>
                          <w:divBdr>
                            <w:top w:val="none" w:sz="0" w:space="0" w:color="auto"/>
                            <w:left w:val="none" w:sz="0" w:space="0" w:color="auto"/>
                            <w:bottom w:val="none" w:sz="0" w:space="0" w:color="auto"/>
                            <w:right w:val="none" w:sz="0" w:space="0" w:color="auto"/>
                          </w:divBdr>
                          <w:divsChild>
                            <w:div w:id="59836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591271">
      <w:bodyDiv w:val="1"/>
      <w:marLeft w:val="0"/>
      <w:marRight w:val="0"/>
      <w:marTop w:val="0"/>
      <w:marBottom w:val="0"/>
      <w:divBdr>
        <w:top w:val="none" w:sz="0" w:space="0" w:color="auto"/>
        <w:left w:val="none" w:sz="0" w:space="0" w:color="auto"/>
        <w:bottom w:val="none" w:sz="0" w:space="0" w:color="auto"/>
        <w:right w:val="none" w:sz="0" w:space="0" w:color="auto"/>
      </w:divBdr>
    </w:div>
    <w:div w:id="1487093314">
      <w:bodyDiv w:val="1"/>
      <w:marLeft w:val="0"/>
      <w:marRight w:val="0"/>
      <w:marTop w:val="0"/>
      <w:marBottom w:val="0"/>
      <w:divBdr>
        <w:top w:val="none" w:sz="0" w:space="0" w:color="auto"/>
        <w:left w:val="none" w:sz="0" w:space="0" w:color="auto"/>
        <w:bottom w:val="none" w:sz="0" w:space="0" w:color="auto"/>
        <w:right w:val="none" w:sz="0" w:space="0" w:color="auto"/>
      </w:divBdr>
      <w:divsChild>
        <w:div w:id="801264998">
          <w:marLeft w:val="720"/>
          <w:marRight w:val="0"/>
          <w:marTop w:val="120"/>
          <w:marBottom w:val="0"/>
          <w:divBdr>
            <w:top w:val="none" w:sz="0" w:space="0" w:color="auto"/>
            <w:left w:val="none" w:sz="0" w:space="0" w:color="auto"/>
            <w:bottom w:val="none" w:sz="0" w:space="0" w:color="auto"/>
            <w:right w:val="none" w:sz="0" w:space="0" w:color="auto"/>
          </w:divBdr>
        </w:div>
      </w:divsChild>
    </w:div>
    <w:div w:id="194664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B1263-48BF-4BA1-BB79-AA2EE9197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3875</Words>
  <Characters>22088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STATEMENT</vt:lpstr>
    </vt:vector>
  </TitlesOfParts>
  <Company>US Department of the Interior</Company>
  <LinksUpToDate>false</LinksUpToDate>
  <CharactersWithSpaces>25912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dc:title>
  <dc:creator>BSewall</dc:creator>
  <cp:lastModifiedBy>DOI</cp:lastModifiedBy>
  <cp:revision>4</cp:revision>
  <cp:lastPrinted>2012-03-14T20:35:00Z</cp:lastPrinted>
  <dcterms:created xsi:type="dcterms:W3CDTF">2012-03-14T22:36:00Z</dcterms:created>
  <dcterms:modified xsi:type="dcterms:W3CDTF">2012-03-14T22:48:00Z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