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2A" w:rsidRDefault="009B232A" w:rsidP="006F46E5">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bookmarkStart w:id="0" w:name="_GoBack"/>
      <w:bookmarkEnd w:id="0"/>
      <w:r>
        <w:rPr>
          <w:rFonts w:ascii="Times New Roman" w:hAnsi="Times New Roman" w:cs="Times New Roman"/>
          <w:b/>
          <w:bCs/>
          <w:smallCaps/>
          <w:color w:val="000000" w:themeColor="text1"/>
          <w:sz w:val="24"/>
          <w:szCs w:val="24"/>
        </w:rPr>
        <w:t>Statement of</w:t>
      </w:r>
    </w:p>
    <w:p w:rsidR="006F46E5" w:rsidRPr="002205B3" w:rsidRDefault="00D745D4" w:rsidP="006F46E5">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Pr>
          <w:rFonts w:ascii="Times New Roman" w:hAnsi="Times New Roman" w:cs="Times New Roman"/>
          <w:b/>
          <w:bCs/>
          <w:smallCaps/>
          <w:color w:val="000000" w:themeColor="text1"/>
          <w:sz w:val="24"/>
          <w:szCs w:val="24"/>
        </w:rPr>
        <w:t>Kevin K. Washburn</w:t>
      </w:r>
    </w:p>
    <w:p w:rsidR="006F46E5" w:rsidRPr="002205B3" w:rsidRDefault="006F46E5" w:rsidP="006F46E5">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2205B3">
        <w:rPr>
          <w:rFonts w:ascii="Times New Roman" w:hAnsi="Times New Roman" w:cs="Times New Roman"/>
          <w:b/>
          <w:bCs/>
          <w:smallCaps/>
          <w:color w:val="000000" w:themeColor="text1"/>
          <w:sz w:val="24"/>
          <w:szCs w:val="24"/>
        </w:rPr>
        <w:t>Assistant Secretary – Indian Affairs</w:t>
      </w:r>
    </w:p>
    <w:p w:rsidR="006F46E5" w:rsidRPr="002205B3" w:rsidRDefault="006F46E5" w:rsidP="006F46E5">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2205B3">
        <w:rPr>
          <w:rFonts w:ascii="Times New Roman" w:hAnsi="Times New Roman" w:cs="Times New Roman"/>
          <w:b/>
          <w:bCs/>
          <w:smallCaps/>
          <w:color w:val="000000" w:themeColor="text1"/>
          <w:sz w:val="24"/>
          <w:szCs w:val="24"/>
        </w:rPr>
        <w:t>United States Department of the Interior</w:t>
      </w:r>
    </w:p>
    <w:p w:rsidR="006F46E5" w:rsidRPr="002205B3" w:rsidRDefault="006F46E5" w:rsidP="006F46E5">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sidRPr="002205B3">
        <w:rPr>
          <w:rFonts w:ascii="Times New Roman" w:hAnsi="Times New Roman" w:cs="Times New Roman"/>
          <w:b/>
          <w:bCs/>
          <w:smallCaps/>
          <w:color w:val="000000" w:themeColor="text1"/>
          <w:sz w:val="24"/>
          <w:szCs w:val="24"/>
        </w:rPr>
        <w:t xml:space="preserve">Before the </w:t>
      </w:r>
    </w:p>
    <w:p w:rsidR="006F46E5" w:rsidRPr="002205B3" w:rsidRDefault="006F46E5" w:rsidP="006F46E5">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2205B3">
        <w:rPr>
          <w:rFonts w:ascii="Times New Roman" w:hAnsi="Times New Roman" w:cs="Times New Roman"/>
          <w:b/>
          <w:bCs/>
          <w:smallCaps/>
          <w:color w:val="000000" w:themeColor="text1"/>
          <w:sz w:val="24"/>
          <w:szCs w:val="24"/>
        </w:rPr>
        <w:t>Senate Committee on Indian Affairs</w:t>
      </w:r>
    </w:p>
    <w:p w:rsidR="006F46E5" w:rsidRPr="002205B3" w:rsidRDefault="006F46E5" w:rsidP="006F46E5">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sidRPr="002205B3">
        <w:rPr>
          <w:rFonts w:ascii="Times New Roman" w:hAnsi="Times New Roman" w:cs="Times New Roman"/>
          <w:b/>
          <w:bCs/>
          <w:smallCaps/>
          <w:color w:val="000000" w:themeColor="text1"/>
          <w:sz w:val="24"/>
          <w:szCs w:val="24"/>
        </w:rPr>
        <w:t>On</w:t>
      </w:r>
    </w:p>
    <w:p w:rsidR="006F46E5" w:rsidRPr="002205B3" w:rsidRDefault="006F46E5" w:rsidP="006F46E5">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2205B3">
        <w:rPr>
          <w:rFonts w:ascii="Times New Roman" w:hAnsi="Times New Roman" w:cs="Times New Roman"/>
          <w:b/>
          <w:bCs/>
          <w:i/>
          <w:smallCaps/>
          <w:color w:val="000000" w:themeColor="text1"/>
          <w:sz w:val="24"/>
          <w:szCs w:val="24"/>
        </w:rPr>
        <w:t>Carcieri</w:t>
      </w:r>
      <w:r w:rsidR="002E2497">
        <w:rPr>
          <w:rFonts w:ascii="Times New Roman" w:hAnsi="Times New Roman" w:cs="Times New Roman"/>
          <w:b/>
          <w:bCs/>
          <w:smallCaps/>
          <w:color w:val="000000" w:themeColor="text1"/>
          <w:sz w:val="24"/>
          <w:szCs w:val="24"/>
        </w:rPr>
        <w:t>: Bringing Certainty to Trust Land Acquisitions</w:t>
      </w:r>
    </w:p>
    <w:p w:rsidR="006F46E5" w:rsidRPr="002205B3" w:rsidRDefault="006F46E5" w:rsidP="006F46E5">
      <w:pPr>
        <w:autoSpaceDE w:val="0"/>
        <w:autoSpaceDN w:val="0"/>
        <w:adjustRightInd w:val="0"/>
        <w:spacing w:after="0" w:line="240" w:lineRule="auto"/>
        <w:jc w:val="both"/>
        <w:rPr>
          <w:rFonts w:ascii="Times New Roman" w:hAnsi="Times New Roman" w:cs="Times New Roman"/>
          <w:color w:val="000000" w:themeColor="text1"/>
          <w:sz w:val="24"/>
          <w:szCs w:val="24"/>
        </w:rPr>
      </w:pPr>
    </w:p>
    <w:p w:rsidR="006F46E5" w:rsidRPr="002205B3" w:rsidRDefault="00D745D4" w:rsidP="006F46E5">
      <w:pPr>
        <w:autoSpaceDE w:val="0"/>
        <w:autoSpaceDN w:val="0"/>
        <w:adjustRightInd w:val="0"/>
        <w:spacing w:after="0" w:line="240" w:lineRule="auto"/>
        <w:jc w:val="center"/>
        <w:rPr>
          <w:rFonts w:ascii="Times New Roman" w:hAnsi="Times New Roman" w:cs="Times New Roman"/>
          <w:b/>
          <w:smallCaps/>
          <w:color w:val="000000" w:themeColor="text1"/>
          <w:sz w:val="24"/>
          <w:szCs w:val="24"/>
        </w:rPr>
      </w:pPr>
      <w:r>
        <w:rPr>
          <w:rFonts w:ascii="Times New Roman" w:hAnsi="Times New Roman" w:cs="Times New Roman"/>
          <w:b/>
          <w:smallCaps/>
          <w:color w:val="000000" w:themeColor="text1"/>
          <w:sz w:val="24"/>
          <w:szCs w:val="24"/>
        </w:rPr>
        <w:t>November 20, 2013</w:t>
      </w:r>
    </w:p>
    <w:p w:rsidR="006F46E5" w:rsidRPr="002205B3" w:rsidRDefault="006F46E5" w:rsidP="006F46E5">
      <w:pPr>
        <w:autoSpaceDE w:val="0"/>
        <w:autoSpaceDN w:val="0"/>
        <w:adjustRightInd w:val="0"/>
        <w:spacing w:after="0" w:line="240" w:lineRule="auto"/>
        <w:jc w:val="both"/>
        <w:rPr>
          <w:rFonts w:ascii="Times New Roman" w:hAnsi="Times New Roman" w:cs="Times New Roman"/>
          <w:color w:val="000000" w:themeColor="text1"/>
          <w:sz w:val="24"/>
          <w:szCs w:val="24"/>
        </w:rPr>
      </w:pPr>
    </w:p>
    <w:p w:rsidR="006F46E5" w:rsidRPr="002205B3" w:rsidRDefault="006F46E5" w:rsidP="006F46E5">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2205B3">
        <w:rPr>
          <w:rFonts w:ascii="Times New Roman" w:hAnsi="Times New Roman" w:cs="Times New Roman"/>
          <w:b/>
          <w:color w:val="000000" w:themeColor="text1"/>
          <w:sz w:val="24"/>
          <w:szCs w:val="24"/>
        </w:rPr>
        <w:t>Introduction</w:t>
      </w:r>
    </w:p>
    <w:p w:rsidR="008F4680" w:rsidRPr="002205B3" w:rsidRDefault="008F4680" w:rsidP="004369C3">
      <w:pPr>
        <w:spacing w:after="0" w:line="240" w:lineRule="auto"/>
        <w:rPr>
          <w:rFonts w:ascii="Times New Roman" w:hAnsi="Times New Roman" w:cs="Times New Roman"/>
          <w:sz w:val="24"/>
          <w:szCs w:val="24"/>
        </w:rPr>
      </w:pPr>
    </w:p>
    <w:p w:rsidR="004C25C9" w:rsidRDefault="002E2497"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Chairwoman Cantwell, </w:t>
      </w:r>
      <w:r w:rsidR="002B2508" w:rsidRPr="002205B3">
        <w:rPr>
          <w:rFonts w:ascii="Times New Roman" w:hAnsi="Times New Roman" w:cs="Times New Roman"/>
          <w:color w:val="000000" w:themeColor="text1"/>
          <w:sz w:val="24"/>
          <w:szCs w:val="24"/>
        </w:rPr>
        <w:t xml:space="preserve">Vice-Chairman Barrasso, and Members of the Committee, my name is </w:t>
      </w:r>
      <w:r>
        <w:rPr>
          <w:rFonts w:ascii="Times New Roman" w:hAnsi="Times New Roman" w:cs="Times New Roman"/>
          <w:color w:val="000000" w:themeColor="text1"/>
          <w:sz w:val="24"/>
          <w:szCs w:val="24"/>
        </w:rPr>
        <w:t xml:space="preserve">Kevin Washburn </w:t>
      </w:r>
      <w:r w:rsidR="002B2508" w:rsidRPr="002205B3">
        <w:rPr>
          <w:rFonts w:ascii="Times New Roman" w:hAnsi="Times New Roman" w:cs="Times New Roman"/>
          <w:color w:val="000000" w:themeColor="text1"/>
          <w:sz w:val="24"/>
          <w:szCs w:val="24"/>
        </w:rPr>
        <w:t>and I am the Assistant Secretary - Indian Affairs at the Department of the Interior</w:t>
      </w:r>
      <w:r w:rsidR="00EF638D" w:rsidRPr="002205B3">
        <w:rPr>
          <w:rFonts w:ascii="Times New Roman" w:hAnsi="Times New Roman" w:cs="Times New Roman"/>
          <w:color w:val="000000" w:themeColor="text1"/>
          <w:sz w:val="24"/>
          <w:szCs w:val="24"/>
        </w:rPr>
        <w:t xml:space="preserve"> (Department)</w:t>
      </w:r>
      <w:r w:rsidR="002B2508" w:rsidRPr="002205B3">
        <w:rPr>
          <w:rFonts w:ascii="Times New Roman" w:hAnsi="Times New Roman" w:cs="Times New Roman"/>
          <w:color w:val="000000" w:themeColor="text1"/>
          <w:sz w:val="24"/>
          <w:szCs w:val="24"/>
        </w:rPr>
        <w:t xml:space="preserve">.  Thank you for the opportunity to </w:t>
      </w:r>
      <w:r>
        <w:rPr>
          <w:rFonts w:ascii="Times New Roman" w:hAnsi="Times New Roman" w:cs="Times New Roman"/>
          <w:color w:val="000000" w:themeColor="text1"/>
          <w:sz w:val="24"/>
          <w:szCs w:val="24"/>
        </w:rPr>
        <w:t xml:space="preserve">provide the Administration’s statement on </w:t>
      </w:r>
      <w:r w:rsidR="00623140" w:rsidRPr="002205B3">
        <w:rPr>
          <w:rFonts w:ascii="Times New Roman" w:hAnsi="Times New Roman" w:cs="Times New Roman"/>
          <w:i/>
          <w:color w:val="000000" w:themeColor="text1"/>
          <w:sz w:val="24"/>
          <w:szCs w:val="24"/>
        </w:rPr>
        <w:t>Carcieri v. Salazar</w:t>
      </w:r>
      <w:r w:rsidR="00623140" w:rsidRPr="002205B3">
        <w:rPr>
          <w:rStyle w:val="FootnoteReference"/>
          <w:rFonts w:ascii="Times New Roman" w:hAnsi="Times New Roman" w:cs="Times New Roman"/>
          <w:color w:val="000000" w:themeColor="text1"/>
          <w:sz w:val="24"/>
          <w:szCs w:val="24"/>
        </w:rPr>
        <w:footnoteReference w:id="1"/>
      </w:r>
      <w:r w:rsidR="00623140">
        <w:rPr>
          <w:rFonts w:ascii="Times New Roman" w:hAnsi="Times New Roman" w:cs="Times New Roman"/>
          <w:color w:val="000000" w:themeColor="text1"/>
          <w:sz w:val="24"/>
          <w:szCs w:val="24"/>
        </w:rPr>
        <w:t xml:space="preserve">and the need to </w:t>
      </w:r>
      <w:r>
        <w:rPr>
          <w:rFonts w:ascii="Times New Roman" w:hAnsi="Times New Roman" w:cs="Times New Roman"/>
          <w:color w:val="000000" w:themeColor="text1"/>
          <w:sz w:val="24"/>
          <w:szCs w:val="24"/>
        </w:rPr>
        <w:t>bring certainty to trust land acquisitions</w:t>
      </w:r>
      <w:r w:rsidR="00623140">
        <w:rPr>
          <w:rFonts w:ascii="Times New Roman" w:hAnsi="Times New Roman" w:cs="Times New Roman"/>
          <w:color w:val="000000" w:themeColor="text1"/>
          <w:sz w:val="24"/>
          <w:szCs w:val="24"/>
        </w:rPr>
        <w:t xml:space="preserve">.  </w:t>
      </w:r>
    </w:p>
    <w:p w:rsidR="004C25C9" w:rsidRDefault="004C25C9">
      <w:pPr>
        <w:autoSpaceDE w:val="0"/>
        <w:autoSpaceDN w:val="0"/>
        <w:adjustRightInd w:val="0"/>
        <w:spacing w:after="0" w:line="240" w:lineRule="auto"/>
        <w:rPr>
          <w:rFonts w:ascii="Times New Roman" w:hAnsi="Times New Roman" w:cs="Times New Roman"/>
          <w:color w:val="000000" w:themeColor="text1"/>
          <w:sz w:val="24"/>
          <w:szCs w:val="24"/>
        </w:rPr>
      </w:pPr>
    </w:p>
    <w:p w:rsidR="007D5464" w:rsidRDefault="004C25C9"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Restoring tribal homelands is one of this Administration’s highest priorities.  </w:t>
      </w:r>
      <w:r w:rsidR="00623140">
        <w:rPr>
          <w:rFonts w:ascii="Times New Roman" w:hAnsi="Times New Roman" w:cs="Times New Roman"/>
          <w:color w:val="000000" w:themeColor="text1"/>
          <w:sz w:val="24"/>
          <w:szCs w:val="24"/>
        </w:rPr>
        <w:t xml:space="preserve">This Administration has </w:t>
      </w:r>
      <w:r w:rsidR="00000EFA">
        <w:rPr>
          <w:rFonts w:ascii="Times New Roman" w:hAnsi="Times New Roman" w:cs="Times New Roman"/>
          <w:color w:val="000000" w:themeColor="text1"/>
          <w:sz w:val="24"/>
          <w:szCs w:val="24"/>
        </w:rPr>
        <w:t xml:space="preserve">repeatedly stressed the importance of and </w:t>
      </w:r>
      <w:r w:rsidR="00623140">
        <w:rPr>
          <w:rFonts w:ascii="Times New Roman" w:hAnsi="Times New Roman" w:cs="Times New Roman"/>
          <w:color w:val="000000" w:themeColor="text1"/>
          <w:sz w:val="24"/>
          <w:szCs w:val="24"/>
        </w:rPr>
        <w:t xml:space="preserve">need for a </w:t>
      </w:r>
      <w:r w:rsidR="00111AFB" w:rsidRPr="00111AFB">
        <w:rPr>
          <w:rFonts w:ascii="Times New Roman" w:hAnsi="Times New Roman" w:cs="Times New Roman"/>
          <w:i/>
          <w:color w:val="000000" w:themeColor="text1"/>
          <w:sz w:val="24"/>
          <w:szCs w:val="24"/>
        </w:rPr>
        <w:t>Carcieri</w:t>
      </w:r>
      <w:r w:rsidR="00623140">
        <w:rPr>
          <w:rFonts w:ascii="Times New Roman" w:hAnsi="Times New Roman" w:cs="Times New Roman"/>
          <w:color w:val="000000" w:themeColor="text1"/>
          <w:sz w:val="24"/>
          <w:szCs w:val="24"/>
        </w:rPr>
        <w:t xml:space="preserve"> fix. </w:t>
      </w:r>
      <w:r w:rsidR="000000C7">
        <w:rPr>
          <w:rFonts w:ascii="Times New Roman" w:hAnsi="Times New Roman" w:cs="Times New Roman"/>
          <w:color w:val="000000" w:themeColor="text1"/>
          <w:sz w:val="24"/>
          <w:szCs w:val="24"/>
        </w:rPr>
        <w:t>For the past three years, t</w:t>
      </w:r>
      <w:r w:rsidR="00623140">
        <w:rPr>
          <w:rFonts w:ascii="Times New Roman" w:hAnsi="Times New Roman" w:cs="Times New Roman"/>
          <w:color w:val="000000" w:themeColor="text1"/>
          <w:sz w:val="24"/>
          <w:szCs w:val="24"/>
        </w:rPr>
        <w:t xml:space="preserve">he President </w:t>
      </w:r>
      <w:r w:rsidR="00000EFA">
        <w:rPr>
          <w:rFonts w:ascii="Times New Roman" w:hAnsi="Times New Roman" w:cs="Times New Roman"/>
          <w:color w:val="000000" w:themeColor="text1"/>
          <w:sz w:val="24"/>
          <w:szCs w:val="24"/>
        </w:rPr>
        <w:t>has proposed a sensible</w:t>
      </w:r>
      <w:r w:rsidR="00623140">
        <w:rPr>
          <w:rFonts w:ascii="Times New Roman" w:hAnsi="Times New Roman" w:cs="Times New Roman"/>
          <w:color w:val="000000" w:themeColor="text1"/>
          <w:sz w:val="24"/>
          <w:szCs w:val="24"/>
        </w:rPr>
        <w:t xml:space="preserve"> fix to </w:t>
      </w:r>
      <w:r w:rsidR="00000EFA">
        <w:rPr>
          <w:rFonts w:ascii="Times New Roman" w:hAnsi="Times New Roman" w:cs="Times New Roman"/>
          <w:color w:val="000000" w:themeColor="text1"/>
          <w:sz w:val="24"/>
          <w:szCs w:val="24"/>
        </w:rPr>
        <w:t>treat all tribes equally in exercising the fundamental responsibility</w:t>
      </w:r>
      <w:r w:rsidR="00623140">
        <w:rPr>
          <w:rFonts w:ascii="Times New Roman" w:hAnsi="Times New Roman" w:cs="Times New Roman"/>
          <w:color w:val="000000" w:themeColor="text1"/>
          <w:sz w:val="24"/>
          <w:szCs w:val="24"/>
        </w:rPr>
        <w:t xml:space="preserve"> of placing land into trust for tribes.  </w:t>
      </w:r>
      <w:r w:rsidR="00C941D0">
        <w:rPr>
          <w:rFonts w:ascii="Times New Roman" w:hAnsi="Times New Roman" w:cs="Times New Roman"/>
          <w:color w:val="000000" w:themeColor="text1"/>
          <w:sz w:val="24"/>
          <w:szCs w:val="24"/>
        </w:rPr>
        <w:t>Included as part of the budget request, t</w:t>
      </w:r>
      <w:r w:rsidR="00623140">
        <w:rPr>
          <w:rFonts w:ascii="Times New Roman" w:hAnsi="Times New Roman" w:cs="Times New Roman"/>
          <w:color w:val="000000" w:themeColor="text1"/>
          <w:sz w:val="24"/>
          <w:szCs w:val="24"/>
        </w:rPr>
        <w:t>h</w:t>
      </w:r>
      <w:r w:rsidR="00000EFA">
        <w:rPr>
          <w:rFonts w:ascii="Times New Roman" w:hAnsi="Times New Roman" w:cs="Times New Roman"/>
          <w:color w:val="000000" w:themeColor="text1"/>
          <w:sz w:val="24"/>
          <w:szCs w:val="24"/>
        </w:rPr>
        <w:t>e</w:t>
      </w:r>
      <w:r w:rsidR="00623140">
        <w:rPr>
          <w:rFonts w:ascii="Times New Roman" w:hAnsi="Times New Roman" w:cs="Times New Roman"/>
          <w:color w:val="000000" w:themeColor="text1"/>
          <w:sz w:val="24"/>
          <w:szCs w:val="24"/>
        </w:rPr>
        <w:t xml:space="preserve"> Administration</w:t>
      </w:r>
      <w:r w:rsidR="005F0EF0">
        <w:rPr>
          <w:rFonts w:ascii="Times New Roman" w:hAnsi="Times New Roman" w:cs="Times New Roman"/>
          <w:color w:val="000000" w:themeColor="text1"/>
          <w:sz w:val="24"/>
          <w:szCs w:val="24"/>
        </w:rPr>
        <w:t xml:space="preserve">’s </w:t>
      </w:r>
      <w:r w:rsidR="00CE5404">
        <w:rPr>
          <w:rFonts w:ascii="Times New Roman" w:hAnsi="Times New Roman" w:cs="Times New Roman"/>
          <w:color w:val="000000" w:themeColor="text1"/>
          <w:sz w:val="24"/>
          <w:szCs w:val="24"/>
        </w:rPr>
        <w:t xml:space="preserve">practical </w:t>
      </w:r>
      <w:r w:rsidR="005F0EF0">
        <w:rPr>
          <w:rFonts w:ascii="Times New Roman" w:hAnsi="Times New Roman" w:cs="Times New Roman"/>
          <w:color w:val="000000" w:themeColor="text1"/>
          <w:sz w:val="24"/>
          <w:szCs w:val="24"/>
        </w:rPr>
        <w:t>s</w:t>
      </w:r>
      <w:r w:rsidR="00623140">
        <w:rPr>
          <w:rFonts w:ascii="Times New Roman" w:hAnsi="Times New Roman" w:cs="Times New Roman"/>
          <w:color w:val="000000" w:themeColor="text1"/>
          <w:sz w:val="24"/>
          <w:szCs w:val="24"/>
        </w:rPr>
        <w:t>olution</w:t>
      </w:r>
      <w:r w:rsidR="005F0E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would amend the Indian Reorganization Act</w:t>
      </w:r>
      <w:r w:rsidR="005F0EF0">
        <w:rPr>
          <w:rFonts w:ascii="Times New Roman" w:hAnsi="Times New Roman" w:cs="Times New Roman"/>
          <w:color w:val="000000" w:themeColor="text1"/>
          <w:sz w:val="24"/>
          <w:szCs w:val="24"/>
        </w:rPr>
        <w:t xml:space="preserve"> essentially as follows</w:t>
      </w:r>
      <w:r w:rsidR="00623140">
        <w:rPr>
          <w:rFonts w:ascii="Times New Roman" w:hAnsi="Times New Roman" w:cs="Times New Roman"/>
          <w:color w:val="000000" w:themeColor="text1"/>
          <w:sz w:val="24"/>
          <w:szCs w:val="24"/>
        </w:rPr>
        <w:t>:</w:t>
      </w:r>
    </w:p>
    <w:p w:rsidR="007A3CE3" w:rsidRDefault="007A3CE3" w:rsidP="00C20533">
      <w:pPr>
        <w:autoSpaceDE w:val="0"/>
        <w:autoSpaceDN w:val="0"/>
        <w:adjustRightInd w:val="0"/>
        <w:spacing w:after="0"/>
        <w:jc w:val="both"/>
        <w:rPr>
          <w:rFonts w:ascii="Times New Roman" w:hAnsi="Times New Roman" w:cs="Times New Roman"/>
          <w:color w:val="000000" w:themeColor="text1"/>
          <w:sz w:val="24"/>
          <w:szCs w:val="24"/>
        </w:rPr>
      </w:pPr>
    </w:p>
    <w:p w:rsidR="007D5464" w:rsidRDefault="00111AFB">
      <w:pPr>
        <w:ind w:left="1440" w:right="1440"/>
        <w:rPr>
          <w:rFonts w:ascii="Times New Roman" w:eastAsia="Calibri" w:hAnsi="Times New Roman" w:cs="Times New Roman"/>
          <w:sz w:val="24"/>
          <w:szCs w:val="24"/>
        </w:rPr>
      </w:pPr>
      <w:r w:rsidRPr="00B16CCA">
        <w:rPr>
          <w:rFonts w:ascii="Times New Roman" w:eastAsia="Calibri" w:hAnsi="Times New Roman" w:cs="Times New Roman"/>
          <w:sz w:val="24"/>
          <w:szCs w:val="24"/>
        </w:rPr>
        <w:t>Effective beginning on June 18, 1934, the term</w:t>
      </w:r>
      <w:r w:rsidRPr="00111AFB">
        <w:rPr>
          <w:rFonts w:ascii="Times New Roman" w:eastAsia="Calibri" w:hAnsi="Times New Roman" w:cs="Times New Roman"/>
          <w:sz w:val="24"/>
          <w:szCs w:val="24"/>
        </w:rPr>
        <w:t xml:space="preserve"> “Indian” as used in this Act shall include all persons of Indian descent who are members </w:t>
      </w:r>
      <w:r w:rsidRPr="00B16CCA">
        <w:rPr>
          <w:rFonts w:ascii="Times New Roman" w:eastAsia="Calibri" w:hAnsi="Times New Roman" w:cs="Times New Roman"/>
          <w:sz w:val="24"/>
          <w:szCs w:val="24"/>
        </w:rPr>
        <w:t>any federally recognized Indian tribe</w:t>
      </w:r>
      <w:r w:rsidRPr="00111AFB">
        <w:rPr>
          <w:rFonts w:ascii="Times New Roman" w:eastAsia="Calibri" w:hAnsi="Times New Roman" w:cs="Times New Roman"/>
          <w:sz w:val="24"/>
          <w:szCs w:val="24"/>
        </w:rPr>
        <w:t xml:space="preserve">, and all persons who are descendants of such members who were, on June 1, 1934, residing within the present boundaries of any Indian reservation, and shall further include all other persons of one-half or more Indian blood. </w:t>
      </w:r>
    </w:p>
    <w:p w:rsidR="004C25C9" w:rsidRDefault="005F0EF0"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such a fix by Congress, </w:t>
      </w:r>
      <w:r w:rsidR="00111AFB" w:rsidRPr="00111AFB">
        <w:rPr>
          <w:rFonts w:ascii="Times New Roman" w:hAnsi="Times New Roman" w:cs="Times New Roman"/>
          <w:i/>
          <w:color w:val="000000" w:themeColor="text1"/>
          <w:sz w:val="24"/>
          <w:szCs w:val="24"/>
        </w:rPr>
        <w:t>Carcieri</w:t>
      </w:r>
      <w:r>
        <w:rPr>
          <w:rFonts w:ascii="Times New Roman" w:hAnsi="Times New Roman" w:cs="Times New Roman"/>
          <w:color w:val="000000" w:themeColor="text1"/>
          <w:sz w:val="24"/>
          <w:szCs w:val="24"/>
        </w:rPr>
        <w:t xml:space="preserve"> </w:t>
      </w:r>
      <w:r w:rsidR="00D22F0B">
        <w:rPr>
          <w:rFonts w:ascii="Times New Roman" w:hAnsi="Times New Roman" w:cs="Times New Roman"/>
          <w:color w:val="000000" w:themeColor="text1"/>
          <w:sz w:val="24"/>
          <w:szCs w:val="24"/>
        </w:rPr>
        <w:t xml:space="preserve">presents a potential </w:t>
      </w:r>
      <w:r>
        <w:rPr>
          <w:rFonts w:ascii="Times New Roman" w:hAnsi="Times New Roman" w:cs="Times New Roman"/>
          <w:color w:val="000000" w:themeColor="text1"/>
          <w:sz w:val="24"/>
          <w:szCs w:val="24"/>
        </w:rPr>
        <w:t>problem</w:t>
      </w:r>
      <w:r w:rsidR="00D22F0B">
        <w:rPr>
          <w:rFonts w:ascii="Times New Roman" w:hAnsi="Times New Roman" w:cs="Times New Roman"/>
          <w:color w:val="000000" w:themeColor="text1"/>
          <w:sz w:val="24"/>
          <w:szCs w:val="24"/>
        </w:rPr>
        <w:t xml:space="preserve"> for any tribe by allowing opponents to mire routine trust applications in protracted and unnecessary litigation</w:t>
      </w:r>
      <w:r>
        <w:rPr>
          <w:rFonts w:ascii="Times New Roman" w:hAnsi="Times New Roman" w:cs="Times New Roman"/>
          <w:color w:val="000000" w:themeColor="text1"/>
          <w:sz w:val="24"/>
          <w:szCs w:val="24"/>
        </w:rPr>
        <w:t xml:space="preserve">. </w:t>
      </w:r>
      <w:r w:rsidR="00D22F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we have seen repeatedly since the decision, </w:t>
      </w:r>
      <w:r w:rsidR="00D22F0B">
        <w:rPr>
          <w:rFonts w:ascii="Times New Roman" w:hAnsi="Times New Roman" w:cs="Times New Roman"/>
          <w:color w:val="000000" w:themeColor="text1"/>
          <w:sz w:val="24"/>
          <w:szCs w:val="24"/>
        </w:rPr>
        <w:t xml:space="preserve">those </w:t>
      </w:r>
      <w:r>
        <w:rPr>
          <w:rFonts w:ascii="Times New Roman" w:hAnsi="Times New Roman" w:cs="Times New Roman"/>
          <w:color w:val="000000" w:themeColor="text1"/>
          <w:sz w:val="24"/>
          <w:szCs w:val="24"/>
        </w:rPr>
        <w:t>challenging a trust acquisition routinely assert that a particular tribe was not under federal jurisdiction in 1934, even when such claim</w:t>
      </w:r>
      <w:r w:rsidR="00626F9E">
        <w:rPr>
          <w:rFonts w:ascii="Times New Roman" w:hAnsi="Times New Roman" w:cs="Times New Roman"/>
          <w:color w:val="000000" w:themeColor="text1"/>
          <w:sz w:val="24"/>
          <w:szCs w:val="24"/>
        </w:rPr>
        <w:t xml:space="preserve"> is clearly unsupported by </w:t>
      </w:r>
      <w:r>
        <w:rPr>
          <w:rFonts w:ascii="Times New Roman" w:hAnsi="Times New Roman" w:cs="Times New Roman"/>
          <w:color w:val="000000" w:themeColor="text1"/>
          <w:sz w:val="24"/>
          <w:szCs w:val="24"/>
        </w:rPr>
        <w:t xml:space="preserve">the historical record.  </w:t>
      </w:r>
      <w:r w:rsidR="00626F9E">
        <w:rPr>
          <w:rFonts w:ascii="Times New Roman" w:hAnsi="Times New Roman" w:cs="Times New Roman"/>
          <w:color w:val="000000" w:themeColor="text1"/>
          <w:sz w:val="24"/>
          <w:szCs w:val="24"/>
        </w:rPr>
        <w:t>Tribes like the Oneida Tribe of Wisconsin</w:t>
      </w:r>
      <w:r w:rsidR="00071C98">
        <w:rPr>
          <w:rFonts w:ascii="Times New Roman" w:hAnsi="Times New Roman" w:cs="Times New Roman"/>
          <w:color w:val="000000" w:themeColor="text1"/>
          <w:sz w:val="24"/>
          <w:szCs w:val="24"/>
        </w:rPr>
        <w:t xml:space="preserve"> and </w:t>
      </w:r>
      <w:r w:rsidR="00626F9E">
        <w:rPr>
          <w:rFonts w:ascii="Times New Roman" w:hAnsi="Times New Roman" w:cs="Times New Roman"/>
          <w:color w:val="000000" w:themeColor="text1"/>
          <w:sz w:val="24"/>
          <w:szCs w:val="24"/>
        </w:rPr>
        <w:t>the St. Regis Mohawk Tribe</w:t>
      </w:r>
      <w:r w:rsidR="00D22F0B">
        <w:rPr>
          <w:rFonts w:ascii="Times New Roman" w:hAnsi="Times New Roman" w:cs="Times New Roman"/>
          <w:color w:val="000000" w:themeColor="text1"/>
          <w:sz w:val="24"/>
          <w:szCs w:val="24"/>
        </w:rPr>
        <w:t>, which entered into treaties with the United States in the 1790s,</w:t>
      </w:r>
      <w:r w:rsidR="00626F9E">
        <w:rPr>
          <w:rFonts w:ascii="Times New Roman" w:hAnsi="Times New Roman" w:cs="Times New Roman"/>
          <w:color w:val="000000" w:themeColor="text1"/>
          <w:sz w:val="24"/>
          <w:szCs w:val="24"/>
        </w:rPr>
        <w:t xml:space="preserve"> are forced to expend </w:t>
      </w:r>
      <w:r w:rsidR="001F3F96">
        <w:rPr>
          <w:rFonts w:ascii="Times New Roman" w:hAnsi="Times New Roman" w:cs="Times New Roman"/>
          <w:color w:val="000000" w:themeColor="text1"/>
          <w:sz w:val="24"/>
          <w:szCs w:val="24"/>
        </w:rPr>
        <w:t xml:space="preserve">scarce </w:t>
      </w:r>
      <w:r w:rsidR="00626F9E">
        <w:rPr>
          <w:rFonts w:ascii="Times New Roman" w:hAnsi="Times New Roman" w:cs="Times New Roman"/>
          <w:color w:val="000000" w:themeColor="text1"/>
          <w:sz w:val="24"/>
          <w:szCs w:val="24"/>
        </w:rPr>
        <w:t xml:space="preserve">resources defending against such claims – resources </w:t>
      </w:r>
      <w:r w:rsidR="00D22F0B">
        <w:rPr>
          <w:rFonts w:ascii="Times New Roman" w:hAnsi="Times New Roman" w:cs="Times New Roman"/>
          <w:color w:val="000000" w:themeColor="text1"/>
          <w:sz w:val="24"/>
          <w:szCs w:val="24"/>
        </w:rPr>
        <w:t xml:space="preserve">that </w:t>
      </w:r>
      <w:r w:rsidR="001F3F96">
        <w:rPr>
          <w:rFonts w:ascii="Times New Roman" w:hAnsi="Times New Roman" w:cs="Times New Roman"/>
          <w:color w:val="000000" w:themeColor="text1"/>
          <w:sz w:val="24"/>
          <w:szCs w:val="24"/>
        </w:rPr>
        <w:t>in the</w:t>
      </w:r>
      <w:r w:rsidR="00626F9E">
        <w:rPr>
          <w:rFonts w:ascii="Times New Roman" w:hAnsi="Times New Roman" w:cs="Times New Roman"/>
          <w:color w:val="000000" w:themeColor="text1"/>
          <w:sz w:val="24"/>
          <w:szCs w:val="24"/>
        </w:rPr>
        <w:t>s</w:t>
      </w:r>
      <w:r w:rsidR="001F3F96">
        <w:rPr>
          <w:rFonts w:ascii="Times New Roman" w:hAnsi="Times New Roman" w:cs="Times New Roman"/>
          <w:color w:val="000000" w:themeColor="text1"/>
          <w:sz w:val="24"/>
          <w:szCs w:val="24"/>
        </w:rPr>
        <w:t>e difficult budgetary</w:t>
      </w:r>
      <w:r w:rsidR="00626F9E">
        <w:rPr>
          <w:rFonts w:ascii="Times New Roman" w:hAnsi="Times New Roman" w:cs="Times New Roman"/>
          <w:color w:val="000000" w:themeColor="text1"/>
          <w:sz w:val="24"/>
          <w:szCs w:val="24"/>
        </w:rPr>
        <w:t xml:space="preserve"> times could be better spent on housing, education, and public safety.  </w:t>
      </w:r>
      <w:r w:rsidR="001F3F96">
        <w:rPr>
          <w:rFonts w:ascii="Times New Roman" w:hAnsi="Times New Roman" w:cs="Times New Roman"/>
          <w:color w:val="000000" w:themeColor="text1"/>
          <w:sz w:val="24"/>
          <w:szCs w:val="24"/>
        </w:rPr>
        <w:t xml:space="preserve">The Department </w:t>
      </w:r>
      <w:r w:rsidR="001F3F96">
        <w:rPr>
          <w:rFonts w:ascii="Times New Roman" w:hAnsi="Times New Roman" w:cs="Times New Roman"/>
          <w:color w:val="000000" w:themeColor="text1"/>
          <w:sz w:val="24"/>
          <w:szCs w:val="24"/>
        </w:rPr>
        <w:lastRenderedPageBreak/>
        <w:t xml:space="preserve">is also forced to expend resources both before and during litigation to defend against such spurious claims – resources that are needed for social services, protection of natural resources and implementation of treaty rights.  A straightforward </w:t>
      </w:r>
      <w:r w:rsidR="00111AFB" w:rsidRPr="00111AFB">
        <w:rPr>
          <w:rFonts w:ascii="Times New Roman" w:hAnsi="Times New Roman" w:cs="Times New Roman"/>
          <w:i/>
          <w:color w:val="000000" w:themeColor="text1"/>
          <w:sz w:val="24"/>
          <w:szCs w:val="24"/>
        </w:rPr>
        <w:t>Carcieri</w:t>
      </w:r>
      <w:r w:rsidR="001F3F96">
        <w:rPr>
          <w:rFonts w:ascii="Times New Roman" w:hAnsi="Times New Roman" w:cs="Times New Roman"/>
          <w:color w:val="000000" w:themeColor="text1"/>
          <w:sz w:val="24"/>
          <w:szCs w:val="24"/>
        </w:rPr>
        <w:t xml:space="preserve"> fix would be a tremendous economic boost to Indian country, </w:t>
      </w:r>
      <w:r w:rsidR="00071C98">
        <w:rPr>
          <w:rFonts w:ascii="Times New Roman" w:hAnsi="Times New Roman" w:cs="Times New Roman"/>
          <w:color w:val="000000" w:themeColor="text1"/>
          <w:sz w:val="24"/>
          <w:szCs w:val="24"/>
        </w:rPr>
        <w:t>at no cost to the</w:t>
      </w:r>
      <w:r w:rsidR="001F3F96">
        <w:rPr>
          <w:rFonts w:ascii="Times New Roman" w:hAnsi="Times New Roman" w:cs="Times New Roman"/>
          <w:color w:val="000000" w:themeColor="text1"/>
          <w:sz w:val="24"/>
          <w:szCs w:val="24"/>
        </w:rPr>
        <w:t xml:space="preserve"> Federal </w:t>
      </w:r>
      <w:r w:rsidR="00071C98">
        <w:rPr>
          <w:rFonts w:ascii="Times New Roman" w:hAnsi="Times New Roman" w:cs="Times New Roman"/>
          <w:color w:val="000000" w:themeColor="text1"/>
          <w:sz w:val="24"/>
          <w:szCs w:val="24"/>
        </w:rPr>
        <w:t>government</w:t>
      </w:r>
      <w:r w:rsidR="001F3F96">
        <w:rPr>
          <w:rFonts w:ascii="Times New Roman" w:hAnsi="Times New Roman" w:cs="Times New Roman"/>
          <w:color w:val="000000" w:themeColor="text1"/>
          <w:sz w:val="24"/>
          <w:szCs w:val="24"/>
        </w:rPr>
        <w:t xml:space="preserve">. </w:t>
      </w:r>
    </w:p>
    <w:p w:rsidR="007D5464" w:rsidRDefault="00626F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16097B" w:rsidRPr="002205B3" w:rsidRDefault="00111AFB" w:rsidP="0016097B">
      <w:pPr>
        <w:pStyle w:val="ListParagraph"/>
        <w:keepNext/>
        <w:keepLines/>
        <w:numPr>
          <w:ilvl w:val="0"/>
          <w:numId w:val="1"/>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111AFB">
        <w:rPr>
          <w:rFonts w:ascii="Times New Roman" w:hAnsi="Times New Roman" w:cs="Times New Roman"/>
          <w:b/>
          <w:i/>
          <w:color w:val="000000" w:themeColor="text1"/>
          <w:sz w:val="24"/>
          <w:szCs w:val="24"/>
        </w:rPr>
        <w:t>Carcieri</w:t>
      </w:r>
      <w:r w:rsidR="00CE5404">
        <w:rPr>
          <w:rFonts w:ascii="Times New Roman" w:hAnsi="Times New Roman" w:cs="Times New Roman"/>
          <w:b/>
          <w:color w:val="000000" w:themeColor="text1"/>
          <w:sz w:val="24"/>
          <w:szCs w:val="24"/>
        </w:rPr>
        <w:t xml:space="preserve"> Conflicts with the Purposes of the</w:t>
      </w:r>
      <w:r w:rsidR="0016097B" w:rsidRPr="002205B3">
        <w:rPr>
          <w:rFonts w:ascii="Times New Roman" w:hAnsi="Times New Roman" w:cs="Times New Roman"/>
          <w:b/>
          <w:color w:val="000000" w:themeColor="text1"/>
          <w:sz w:val="24"/>
          <w:szCs w:val="24"/>
        </w:rPr>
        <w:t xml:space="preserve"> Indian Reorganization Act</w:t>
      </w:r>
    </w:p>
    <w:p w:rsidR="0016097B" w:rsidRPr="002205B3" w:rsidRDefault="0016097B" w:rsidP="0016097B">
      <w:pPr>
        <w:keepNext/>
        <w:keepLines/>
        <w:autoSpaceDE w:val="0"/>
        <w:autoSpaceDN w:val="0"/>
        <w:adjustRightInd w:val="0"/>
        <w:spacing w:after="0" w:line="240" w:lineRule="auto"/>
        <w:jc w:val="both"/>
        <w:rPr>
          <w:rFonts w:ascii="Times New Roman" w:hAnsi="Times New Roman" w:cs="Times New Roman"/>
          <w:color w:val="000000" w:themeColor="text1"/>
          <w:sz w:val="24"/>
          <w:szCs w:val="24"/>
        </w:rPr>
      </w:pPr>
    </w:p>
    <w:p w:rsidR="007D5464" w:rsidRDefault="002013B1" w:rsidP="00C20533">
      <w:pPr>
        <w:spacing w:after="0"/>
        <w:rPr>
          <w:rFonts w:ascii="Times New Roman" w:hAnsi="Times New Roman" w:cs="Times New Roman"/>
          <w:sz w:val="24"/>
          <w:szCs w:val="24"/>
        </w:rPr>
      </w:pPr>
      <w:r>
        <w:rPr>
          <w:rFonts w:ascii="Times New Roman" w:hAnsi="Times New Roman" w:cs="Times New Roman"/>
          <w:color w:val="000000" w:themeColor="text1"/>
          <w:sz w:val="24"/>
          <w:szCs w:val="24"/>
        </w:rPr>
        <w:t>I</w:t>
      </w:r>
      <w:r w:rsidR="00CE5404" w:rsidRPr="002205B3">
        <w:rPr>
          <w:rFonts w:ascii="Times New Roman" w:hAnsi="Times New Roman" w:cs="Times New Roman"/>
          <w:color w:val="000000" w:themeColor="text1"/>
          <w:sz w:val="24"/>
          <w:szCs w:val="24"/>
        </w:rPr>
        <w:t xml:space="preserve">n </w:t>
      </w:r>
      <w:r w:rsidR="00CE5404" w:rsidRPr="002205B3">
        <w:rPr>
          <w:rFonts w:ascii="Times New Roman" w:hAnsi="Times New Roman" w:cs="Times New Roman"/>
          <w:i/>
          <w:color w:val="000000" w:themeColor="text1"/>
          <w:sz w:val="24"/>
          <w:szCs w:val="24"/>
        </w:rPr>
        <w:t>Carcieri</w:t>
      </w:r>
      <w:r w:rsidR="00CE5404" w:rsidRPr="002205B3">
        <w:rPr>
          <w:rFonts w:ascii="Times New Roman" w:hAnsi="Times New Roman" w:cs="Times New Roman"/>
          <w:color w:val="000000" w:themeColor="text1"/>
          <w:sz w:val="24"/>
          <w:szCs w:val="24"/>
        </w:rPr>
        <w:t xml:space="preserve">, the Supreme Court held </w:t>
      </w:r>
      <w:r w:rsidR="00CE5404" w:rsidRPr="002205B3">
        <w:rPr>
          <w:rFonts w:ascii="Times New Roman" w:hAnsi="Times New Roman" w:cs="Times New Roman"/>
          <w:color w:val="000000"/>
          <w:sz w:val="24"/>
          <w:szCs w:val="24"/>
        </w:rPr>
        <w:t xml:space="preserve">that land could not be taken into trust for the Narragansett Tribe of Rhode Island under Section 5 of the Indian Reorganization Act of 1934 because the Tribe was not under Federal jurisdiction in 1934.  </w:t>
      </w:r>
      <w:r w:rsidR="00C20533">
        <w:rPr>
          <w:rFonts w:ascii="Times New Roman" w:hAnsi="Times New Roman" w:cs="Times New Roman"/>
          <w:sz w:val="24"/>
          <w:szCs w:val="24"/>
        </w:rPr>
        <w:t xml:space="preserve">As a </w:t>
      </w:r>
      <w:r w:rsidR="00CE5404">
        <w:rPr>
          <w:rFonts w:ascii="Times New Roman" w:hAnsi="Times New Roman" w:cs="Times New Roman"/>
          <w:sz w:val="24"/>
          <w:szCs w:val="24"/>
        </w:rPr>
        <w:t>result</w:t>
      </w:r>
      <w:r w:rsidR="00C20533">
        <w:rPr>
          <w:rFonts w:ascii="Times New Roman" w:hAnsi="Times New Roman" w:cs="Times New Roman"/>
          <w:sz w:val="24"/>
          <w:szCs w:val="24"/>
        </w:rPr>
        <w:t xml:space="preserve">, </w:t>
      </w:r>
      <w:r w:rsidR="00CE5404" w:rsidRPr="002205B3">
        <w:rPr>
          <w:rFonts w:ascii="Times New Roman" w:hAnsi="Times New Roman" w:cs="Times New Roman"/>
          <w:sz w:val="24"/>
          <w:szCs w:val="24"/>
        </w:rPr>
        <w:t xml:space="preserve">the </w:t>
      </w:r>
      <w:r w:rsidR="00C20533">
        <w:rPr>
          <w:rFonts w:ascii="Times New Roman" w:hAnsi="Times New Roman" w:cs="Times New Roman"/>
          <w:sz w:val="24"/>
          <w:szCs w:val="24"/>
        </w:rPr>
        <w:t xml:space="preserve">land could not be acquired in trust for the tribe and the tribe could not </w:t>
      </w:r>
      <w:r w:rsidR="00CE5404" w:rsidRPr="002205B3">
        <w:rPr>
          <w:rFonts w:ascii="Times New Roman" w:hAnsi="Times New Roman" w:cs="Times New Roman"/>
          <w:sz w:val="24"/>
          <w:szCs w:val="24"/>
        </w:rPr>
        <w:t>complet</w:t>
      </w:r>
      <w:r w:rsidR="00C20533">
        <w:rPr>
          <w:rFonts w:ascii="Times New Roman" w:hAnsi="Times New Roman" w:cs="Times New Roman"/>
          <w:sz w:val="24"/>
          <w:szCs w:val="24"/>
        </w:rPr>
        <w:t>e</w:t>
      </w:r>
      <w:r w:rsidR="00CE5404" w:rsidRPr="002205B3">
        <w:rPr>
          <w:rFonts w:ascii="Times New Roman" w:hAnsi="Times New Roman" w:cs="Times New Roman"/>
          <w:sz w:val="24"/>
          <w:szCs w:val="24"/>
        </w:rPr>
        <w:t xml:space="preserve"> its low-income housing project.</w:t>
      </w:r>
      <w:r w:rsidR="00CE5404">
        <w:rPr>
          <w:rFonts w:ascii="Times New Roman" w:hAnsi="Times New Roman" w:cs="Times New Roman"/>
          <w:sz w:val="24"/>
          <w:szCs w:val="24"/>
        </w:rPr>
        <w:t xml:space="preserve"> </w:t>
      </w:r>
      <w:r w:rsidR="00111AFB" w:rsidRPr="00111AFB">
        <w:rPr>
          <w:rFonts w:ascii="Times New Roman" w:hAnsi="Times New Roman" w:cs="Times New Roman"/>
          <w:i/>
          <w:sz w:val="24"/>
          <w:szCs w:val="24"/>
        </w:rPr>
        <w:t>Carcieri</w:t>
      </w:r>
      <w:r w:rsidR="00CE5404">
        <w:rPr>
          <w:rFonts w:ascii="Times New Roman" w:hAnsi="Times New Roman" w:cs="Times New Roman"/>
          <w:sz w:val="24"/>
          <w:szCs w:val="24"/>
        </w:rPr>
        <w:t xml:space="preserve"> i</w:t>
      </w:r>
      <w:r w:rsidR="00CE5404" w:rsidRPr="002205B3">
        <w:rPr>
          <w:rFonts w:ascii="Times New Roman" w:hAnsi="Times New Roman" w:cs="Times New Roman"/>
          <w:color w:val="000000" w:themeColor="text1"/>
          <w:sz w:val="24"/>
          <w:szCs w:val="24"/>
        </w:rPr>
        <w:t xml:space="preserve">s wholly inconsistent with the longstanding policies of the United States under the Indian Reorganization Act of 1934 of assisting tribes in establishing and protecting a land base sufficient to allow them to provide for the health, welfare, and safety of tribal members, and of treating </w:t>
      </w:r>
      <w:r w:rsidR="0056180F">
        <w:rPr>
          <w:rFonts w:ascii="Times New Roman" w:hAnsi="Times New Roman" w:cs="Times New Roman"/>
          <w:color w:val="000000" w:themeColor="text1"/>
          <w:sz w:val="24"/>
          <w:szCs w:val="24"/>
        </w:rPr>
        <w:t xml:space="preserve">all </w:t>
      </w:r>
      <w:r w:rsidR="00CE5404" w:rsidRPr="002205B3">
        <w:rPr>
          <w:rFonts w:ascii="Times New Roman" w:hAnsi="Times New Roman" w:cs="Times New Roman"/>
          <w:color w:val="000000" w:themeColor="text1"/>
          <w:sz w:val="24"/>
          <w:szCs w:val="24"/>
        </w:rPr>
        <w:t xml:space="preserve">tribes </w:t>
      </w:r>
      <w:r w:rsidR="0056180F">
        <w:rPr>
          <w:rFonts w:ascii="Times New Roman" w:hAnsi="Times New Roman" w:cs="Times New Roman"/>
          <w:color w:val="000000" w:themeColor="text1"/>
          <w:sz w:val="24"/>
          <w:szCs w:val="24"/>
        </w:rPr>
        <w:t xml:space="preserve">equally for purposes of setting aside lands for tribal communities. </w:t>
      </w:r>
    </w:p>
    <w:p w:rsidR="00CE5404" w:rsidRDefault="00CE5404" w:rsidP="006934FA">
      <w:pPr>
        <w:spacing w:after="0" w:line="240" w:lineRule="auto"/>
        <w:jc w:val="both"/>
        <w:rPr>
          <w:rFonts w:ascii="Times New Roman" w:hAnsi="Times New Roman" w:cs="Times New Roman"/>
          <w:sz w:val="24"/>
          <w:szCs w:val="24"/>
        </w:rPr>
      </w:pPr>
    </w:p>
    <w:p w:rsidR="007D5464" w:rsidRDefault="009C307B" w:rsidP="00C20533">
      <w:pPr>
        <w:rPr>
          <w:color w:val="000000" w:themeColor="text1"/>
        </w:rPr>
      </w:pPr>
      <w:r>
        <w:rPr>
          <w:rFonts w:ascii="Times New Roman" w:hAnsi="Times New Roman" w:cs="Times New Roman"/>
          <w:color w:val="000000" w:themeColor="text1"/>
          <w:sz w:val="24"/>
          <w:szCs w:val="24"/>
        </w:rPr>
        <w:t xml:space="preserve">Our testimony is informed by history.  </w:t>
      </w:r>
      <w:r w:rsidR="006934FA" w:rsidRPr="002205B3">
        <w:rPr>
          <w:rFonts w:ascii="Times New Roman" w:hAnsi="Times New Roman" w:cs="Times New Roman"/>
          <w:color w:val="000000" w:themeColor="text1"/>
          <w:sz w:val="24"/>
          <w:szCs w:val="24"/>
        </w:rPr>
        <w:t>In 1887, Congress passed the General Allotment Act with the intent of breaking up tribal re</w:t>
      </w:r>
      <w:r w:rsidR="00111AFB">
        <w:rPr>
          <w:rFonts w:ascii="Times New Roman" w:hAnsi="Times New Roman" w:cs="Times New Roman"/>
          <w:color w:val="000000" w:themeColor="text1"/>
          <w:sz w:val="24"/>
          <w:szCs w:val="24"/>
        </w:rPr>
        <w:t xml:space="preserve">servations by dividing tribal land into 80- and 160-acre parcels for individual tribal members. The General Allotment Act resulted in huge losses of tribally owned lands, it created the </w:t>
      </w:r>
      <w:r w:rsidR="00111AFB" w:rsidRPr="00111AFB">
        <w:rPr>
          <w:rFonts w:ascii="Times New Roman" w:hAnsi="Times New Roman" w:cs="Times New Roman"/>
          <w:i/>
          <w:color w:val="000000" w:themeColor="text1"/>
          <w:sz w:val="24"/>
          <w:szCs w:val="24"/>
        </w:rPr>
        <w:t>Cobell</w:t>
      </w:r>
      <w:r w:rsidR="00111AFB">
        <w:rPr>
          <w:rFonts w:ascii="Times New Roman" w:hAnsi="Times New Roman" w:cs="Times New Roman"/>
          <w:color w:val="000000" w:themeColor="text1"/>
          <w:sz w:val="24"/>
          <w:szCs w:val="24"/>
        </w:rPr>
        <w:t xml:space="preserve"> fraction</w:t>
      </w:r>
      <w:r w:rsidR="00926EEA">
        <w:rPr>
          <w:rFonts w:ascii="Times New Roman" w:hAnsi="Times New Roman" w:cs="Times New Roman"/>
          <w:color w:val="000000" w:themeColor="text1"/>
          <w:sz w:val="24"/>
          <w:szCs w:val="24"/>
        </w:rPr>
        <w:t xml:space="preserve">al </w:t>
      </w:r>
      <w:r w:rsidR="00111AFB">
        <w:rPr>
          <w:rFonts w:ascii="Times New Roman" w:hAnsi="Times New Roman" w:cs="Times New Roman"/>
          <w:color w:val="000000" w:themeColor="text1"/>
          <w:sz w:val="24"/>
          <w:szCs w:val="24"/>
        </w:rPr>
        <w:t xml:space="preserve">ownership problem, and it is responsible for the current “checkerboard” pattern of ownership on many Indian reservations. Approximately two-thirds of tribal lands were lost as a result of this now repudiated federal policy. </w:t>
      </w:r>
    </w:p>
    <w:p w:rsidR="007D5464" w:rsidRDefault="006934FA" w:rsidP="00C20533">
      <w:pPr>
        <w:pStyle w:val="Default"/>
        <w:spacing w:line="276" w:lineRule="auto"/>
        <w:rPr>
          <w:color w:val="000000" w:themeColor="text1"/>
        </w:rPr>
      </w:pPr>
      <w:r w:rsidRPr="002205B3">
        <w:rPr>
          <w:color w:val="000000" w:themeColor="text1"/>
        </w:rPr>
        <w:t>Congress enacted the Indian Reorganization Act in 1934</w:t>
      </w:r>
      <w:r w:rsidR="00C20533">
        <w:rPr>
          <w:color w:val="000000" w:themeColor="text1"/>
        </w:rPr>
        <w:t xml:space="preserve"> in part</w:t>
      </w:r>
      <w:r w:rsidRPr="002205B3">
        <w:rPr>
          <w:color w:val="000000" w:themeColor="text1"/>
        </w:rPr>
        <w:t xml:space="preserve"> </w:t>
      </w:r>
      <w:r w:rsidR="00091781" w:rsidRPr="002205B3">
        <w:rPr>
          <w:color w:val="000000" w:themeColor="text1"/>
        </w:rPr>
        <w:t>to remedy</w:t>
      </w:r>
      <w:r w:rsidRPr="002205B3">
        <w:rPr>
          <w:color w:val="000000" w:themeColor="text1"/>
        </w:rPr>
        <w:t xml:space="preserve"> the devastating effects of </w:t>
      </w:r>
      <w:r w:rsidR="004C25C9">
        <w:rPr>
          <w:color w:val="000000" w:themeColor="text1"/>
        </w:rPr>
        <w:t xml:space="preserve">these </w:t>
      </w:r>
      <w:r w:rsidRPr="002205B3">
        <w:rPr>
          <w:color w:val="000000" w:themeColor="text1"/>
        </w:rPr>
        <w:t xml:space="preserve">prior policies. Congress’s intent in enacting the Indian Reorganization Act was three-fold: to halt the federal policy of </w:t>
      </w:r>
      <w:r w:rsidR="002205B3" w:rsidRPr="002205B3">
        <w:rPr>
          <w:color w:val="000000" w:themeColor="text1"/>
        </w:rPr>
        <w:t>a</w:t>
      </w:r>
      <w:r w:rsidRPr="002205B3">
        <w:rPr>
          <w:color w:val="000000" w:themeColor="text1"/>
        </w:rPr>
        <w:t xml:space="preserve">llotment and </w:t>
      </w:r>
      <w:r w:rsidR="002205B3" w:rsidRPr="002205B3">
        <w:rPr>
          <w:color w:val="000000" w:themeColor="text1"/>
        </w:rPr>
        <w:t>a</w:t>
      </w:r>
      <w:r w:rsidRPr="002205B3">
        <w:rPr>
          <w:color w:val="000000" w:themeColor="text1"/>
        </w:rPr>
        <w:t xml:space="preserve">ssimilation; to reverse the negative impact of </w:t>
      </w:r>
      <w:r w:rsidR="002205B3" w:rsidRPr="002205B3">
        <w:rPr>
          <w:color w:val="000000" w:themeColor="text1"/>
        </w:rPr>
        <w:t>a</w:t>
      </w:r>
      <w:r w:rsidRPr="002205B3">
        <w:rPr>
          <w:color w:val="000000" w:themeColor="text1"/>
        </w:rPr>
        <w:t xml:space="preserve">llotment policies; and to secure for all Indian tribes a land base on which to engage in economic development and self-determination. </w:t>
      </w:r>
    </w:p>
    <w:p w:rsidR="006934FA" w:rsidRPr="002205B3" w:rsidRDefault="006934FA" w:rsidP="006934FA">
      <w:pPr>
        <w:pStyle w:val="Default"/>
        <w:jc w:val="both"/>
        <w:rPr>
          <w:color w:val="000000" w:themeColor="text1"/>
        </w:rPr>
      </w:pPr>
    </w:p>
    <w:p w:rsidR="007D5464" w:rsidRDefault="006934FA" w:rsidP="00C20533">
      <w:pPr>
        <w:pStyle w:val="Default"/>
        <w:spacing w:line="276" w:lineRule="auto"/>
        <w:rPr>
          <w:color w:val="000000" w:themeColor="text1"/>
        </w:rPr>
      </w:pPr>
      <w:r w:rsidRPr="002205B3">
        <w:rPr>
          <w:color w:val="000000" w:themeColor="text1"/>
        </w:rPr>
        <w:t xml:space="preserve">The first section of the Indian Reorganization Act expressly discontinued the allotment of Indian lands, while the next section preserved the trust status of Indian lands. In section 3, Congress authorized the Secretary to restore tribal ownership of the remaining “surplus” lands on Indian reservations. Most importantly, Congress authorized the Secretary to secure homelands for Indian tribes by </w:t>
      </w:r>
      <w:r w:rsidR="009159BF" w:rsidRPr="002205B3">
        <w:rPr>
          <w:color w:val="000000" w:themeColor="text1"/>
        </w:rPr>
        <w:t>acquiring land to be held in trust for</w:t>
      </w:r>
      <w:r w:rsidRPr="002205B3">
        <w:rPr>
          <w:color w:val="000000" w:themeColor="text1"/>
        </w:rPr>
        <w:t xml:space="preserve"> Indian </w:t>
      </w:r>
      <w:r w:rsidR="009159BF" w:rsidRPr="002205B3">
        <w:rPr>
          <w:color w:val="000000" w:themeColor="text1"/>
        </w:rPr>
        <w:t>tribes</w:t>
      </w:r>
      <w:r w:rsidRPr="002205B3">
        <w:rPr>
          <w:color w:val="000000" w:themeColor="text1"/>
        </w:rPr>
        <w:t xml:space="preserve"> under section 5.  That section has been called “the capstone of the land-related provisions of the </w:t>
      </w:r>
      <w:r w:rsidR="00FA4605" w:rsidRPr="002205B3">
        <w:rPr>
          <w:color w:val="000000" w:themeColor="text1"/>
        </w:rPr>
        <w:t>[Indian Reorganization Act]</w:t>
      </w:r>
      <w:r w:rsidRPr="002205B3">
        <w:rPr>
          <w:color w:val="000000" w:themeColor="text1"/>
        </w:rPr>
        <w:t xml:space="preserve">.”  Cohen’s Handbook of Federal Indian Law § 15.07[1][a] (2005). </w:t>
      </w:r>
      <w:r w:rsidR="009159BF" w:rsidRPr="002205B3">
        <w:rPr>
          <w:color w:val="000000" w:themeColor="text1"/>
        </w:rPr>
        <w:t xml:space="preserve">The Act also authorized the Secretary to designate new reservations.  </w:t>
      </w:r>
      <w:r w:rsidRPr="002205B3">
        <w:rPr>
          <w:color w:val="000000" w:themeColor="text1"/>
        </w:rPr>
        <w:t xml:space="preserve">Thus, Congress recognized that one of the key factors for tribes in developing and maintaining their economic and political strength lay in the protection of each tribe’s land base.  The United States Supreme Court has similarly recognized that the Indian Reorganization Act’s “overriding purpose” was “to establish machinery whereby </w:t>
      </w:r>
      <w:r w:rsidRPr="002205B3">
        <w:rPr>
          <w:color w:val="000000" w:themeColor="text1"/>
        </w:rPr>
        <w:lastRenderedPageBreak/>
        <w:t xml:space="preserve">Indian tribes would be able to assume a greater degree of self-government, both politically and economically.” </w:t>
      </w:r>
      <w:r w:rsidRPr="002205B3">
        <w:rPr>
          <w:i/>
          <w:iCs/>
          <w:color w:val="000000" w:themeColor="text1"/>
        </w:rPr>
        <w:t>Morton v. Mancari</w:t>
      </w:r>
      <w:r w:rsidRPr="002205B3">
        <w:rPr>
          <w:color w:val="000000" w:themeColor="text1"/>
        </w:rPr>
        <w:t xml:space="preserve">, 417 U.S. 535, 542 (1974). </w:t>
      </w:r>
    </w:p>
    <w:p w:rsidR="006934FA" w:rsidRPr="002205B3" w:rsidRDefault="006934FA" w:rsidP="006934FA">
      <w:pPr>
        <w:pStyle w:val="Default"/>
        <w:jc w:val="both"/>
        <w:rPr>
          <w:color w:val="000000" w:themeColor="text1"/>
        </w:rPr>
      </w:pPr>
    </w:p>
    <w:p w:rsidR="007D5464" w:rsidRDefault="006934FA" w:rsidP="00C20533">
      <w:pPr>
        <w:pStyle w:val="Default"/>
        <w:spacing w:line="276" w:lineRule="auto"/>
        <w:rPr>
          <w:color w:val="000000" w:themeColor="text1"/>
        </w:rPr>
      </w:pPr>
      <w:r w:rsidRPr="002205B3">
        <w:rPr>
          <w:color w:val="000000" w:themeColor="text1"/>
        </w:rPr>
        <w:t>This Administration</w:t>
      </w:r>
      <w:r w:rsidR="0093762B">
        <w:rPr>
          <w:color w:val="000000" w:themeColor="text1"/>
        </w:rPr>
        <w:t xml:space="preserve"> fully supports and continues to implement and</w:t>
      </w:r>
      <w:r w:rsidRPr="002205B3">
        <w:rPr>
          <w:color w:val="000000" w:themeColor="text1"/>
        </w:rPr>
        <w:t xml:space="preserve"> advance the </w:t>
      </w:r>
      <w:r w:rsidR="009217AE" w:rsidRPr="002205B3">
        <w:rPr>
          <w:color w:val="000000" w:themeColor="text1"/>
        </w:rPr>
        <w:t xml:space="preserve">policy </w:t>
      </w:r>
      <w:r w:rsidRPr="002205B3">
        <w:rPr>
          <w:color w:val="000000" w:themeColor="text1"/>
        </w:rPr>
        <w:t xml:space="preserve">goals Congress established eight decades ago </w:t>
      </w:r>
      <w:r w:rsidR="009217AE" w:rsidRPr="002205B3">
        <w:rPr>
          <w:color w:val="000000" w:themeColor="text1"/>
        </w:rPr>
        <w:t xml:space="preserve">of </w:t>
      </w:r>
      <w:r w:rsidRPr="002205B3">
        <w:rPr>
          <w:color w:val="000000" w:themeColor="text1"/>
        </w:rPr>
        <w:t>protecti</w:t>
      </w:r>
      <w:r w:rsidR="009217AE" w:rsidRPr="002205B3">
        <w:rPr>
          <w:color w:val="000000" w:themeColor="text1"/>
        </w:rPr>
        <w:t>ng</w:t>
      </w:r>
      <w:r w:rsidRPr="002205B3">
        <w:rPr>
          <w:color w:val="000000" w:themeColor="text1"/>
        </w:rPr>
        <w:t xml:space="preserve"> and restor</w:t>
      </w:r>
      <w:r w:rsidR="009217AE" w:rsidRPr="002205B3">
        <w:rPr>
          <w:color w:val="000000" w:themeColor="text1"/>
        </w:rPr>
        <w:t>ing</w:t>
      </w:r>
      <w:r w:rsidRPr="002205B3">
        <w:rPr>
          <w:color w:val="000000" w:themeColor="text1"/>
        </w:rPr>
        <w:t xml:space="preserve"> tribal homelands</w:t>
      </w:r>
      <w:r w:rsidR="009217AE" w:rsidRPr="002205B3">
        <w:rPr>
          <w:color w:val="000000" w:themeColor="text1"/>
        </w:rPr>
        <w:t xml:space="preserve">, and </w:t>
      </w:r>
      <w:r w:rsidR="00BE526D" w:rsidRPr="002205B3">
        <w:rPr>
          <w:color w:val="000000" w:themeColor="text1"/>
        </w:rPr>
        <w:t xml:space="preserve">advancing </w:t>
      </w:r>
      <w:r w:rsidR="009217AE" w:rsidRPr="002205B3">
        <w:rPr>
          <w:color w:val="000000" w:themeColor="text1"/>
        </w:rPr>
        <w:t>tribal self-determination</w:t>
      </w:r>
      <w:r w:rsidRPr="002205B3">
        <w:rPr>
          <w:color w:val="000000" w:themeColor="text1"/>
        </w:rPr>
        <w:t xml:space="preserve">.  Acquisition of land in trust </w:t>
      </w:r>
      <w:r w:rsidR="009217AE" w:rsidRPr="002205B3">
        <w:rPr>
          <w:color w:val="000000" w:themeColor="text1"/>
        </w:rPr>
        <w:t xml:space="preserve">for the benefit of Indian tribes </w:t>
      </w:r>
      <w:r w:rsidRPr="002205B3">
        <w:rPr>
          <w:color w:val="000000" w:themeColor="text1"/>
        </w:rPr>
        <w:t>is essential to tribal self-determination</w:t>
      </w:r>
      <w:r w:rsidR="00A60793">
        <w:rPr>
          <w:color w:val="000000" w:themeColor="text1"/>
        </w:rPr>
        <w:t xml:space="preserve"> and protects tribal lands for future generations.</w:t>
      </w:r>
      <w:r w:rsidRPr="002205B3">
        <w:rPr>
          <w:color w:val="000000" w:themeColor="text1"/>
        </w:rPr>
        <w:t xml:space="preserve"> For example, trust acquisitions provide tribes the ability to enhance housing opportunities for their citizens. This is particularly necessary where many reservation economies require support from the tribal government to bolster local housing markets and offset high unemployment rates. Trust acquisitions are necessary for tribes to realize the tremendous energy development capacity that exists on their lands. Trust acquisitions allow tribes to grant certain rights of way and enter into leases that are necessary for tribes to negotiate the use and sale of their natural resources. Uncertainty regarding the trust status of land may create confusion regarding law enforcement services and interfere with the security of Indian communities. Additionally, trust lands provide the greatest protections for many communities who rely on subsistence hunting and agriculture that are important elements of tribal culture and ways of life. </w:t>
      </w:r>
    </w:p>
    <w:p w:rsidR="0016097B" w:rsidRPr="002205B3" w:rsidRDefault="0016097B" w:rsidP="0016097B">
      <w:pPr>
        <w:autoSpaceDE w:val="0"/>
        <w:autoSpaceDN w:val="0"/>
        <w:adjustRightInd w:val="0"/>
        <w:spacing w:after="0" w:line="240" w:lineRule="auto"/>
        <w:jc w:val="both"/>
        <w:rPr>
          <w:rFonts w:ascii="Times New Roman" w:hAnsi="Times New Roman" w:cs="Times New Roman"/>
          <w:color w:val="000000" w:themeColor="text1"/>
          <w:sz w:val="24"/>
          <w:szCs w:val="24"/>
        </w:rPr>
      </w:pPr>
    </w:p>
    <w:p w:rsidR="006934FA" w:rsidRPr="002205B3" w:rsidRDefault="006934FA" w:rsidP="0016097B">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2205B3">
        <w:rPr>
          <w:rFonts w:ascii="Times New Roman" w:hAnsi="Times New Roman" w:cs="Times New Roman"/>
          <w:b/>
          <w:color w:val="000000" w:themeColor="text1"/>
          <w:sz w:val="24"/>
          <w:szCs w:val="24"/>
        </w:rPr>
        <w:t xml:space="preserve">Consequences of the </w:t>
      </w:r>
      <w:r w:rsidRPr="002205B3">
        <w:rPr>
          <w:rFonts w:ascii="Times New Roman" w:hAnsi="Times New Roman" w:cs="Times New Roman"/>
          <w:b/>
          <w:i/>
          <w:color w:val="000000" w:themeColor="text1"/>
          <w:sz w:val="24"/>
          <w:szCs w:val="24"/>
        </w:rPr>
        <w:t xml:space="preserve">Carcieri </w:t>
      </w:r>
      <w:r w:rsidRPr="002205B3">
        <w:rPr>
          <w:rFonts w:ascii="Times New Roman" w:hAnsi="Times New Roman" w:cs="Times New Roman"/>
          <w:b/>
          <w:color w:val="000000" w:themeColor="text1"/>
          <w:sz w:val="24"/>
          <w:szCs w:val="24"/>
        </w:rPr>
        <w:t>Decision</w:t>
      </w:r>
    </w:p>
    <w:p w:rsidR="00A719EE" w:rsidRDefault="00A719EE" w:rsidP="00A719EE">
      <w:pPr>
        <w:autoSpaceDE w:val="0"/>
        <w:autoSpaceDN w:val="0"/>
        <w:adjustRightInd w:val="0"/>
        <w:spacing w:after="0" w:line="240" w:lineRule="auto"/>
        <w:jc w:val="both"/>
        <w:rPr>
          <w:rFonts w:ascii="Times New Roman" w:hAnsi="Times New Roman" w:cs="Times New Roman"/>
          <w:color w:val="000000" w:themeColor="text1"/>
          <w:sz w:val="24"/>
          <w:szCs w:val="24"/>
        </w:rPr>
      </w:pPr>
    </w:p>
    <w:p w:rsidR="007D5464" w:rsidRDefault="00A60793"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harms inflicted by </w:t>
      </w:r>
      <w:r w:rsidRPr="00B02C1F">
        <w:rPr>
          <w:rFonts w:ascii="Times New Roman" w:hAnsi="Times New Roman" w:cs="Times New Roman"/>
          <w:i/>
          <w:color w:val="000000" w:themeColor="text1"/>
          <w:sz w:val="24"/>
          <w:szCs w:val="24"/>
        </w:rPr>
        <w:t>Carcieri</w:t>
      </w:r>
      <w:r>
        <w:rPr>
          <w:rFonts w:ascii="Times New Roman" w:hAnsi="Times New Roman" w:cs="Times New Roman"/>
          <w:color w:val="000000" w:themeColor="text1"/>
          <w:sz w:val="24"/>
          <w:szCs w:val="24"/>
        </w:rPr>
        <w:t xml:space="preserve"> </w:t>
      </w:r>
      <w:r w:rsidR="00C20533">
        <w:rPr>
          <w:rFonts w:ascii="Times New Roman" w:hAnsi="Times New Roman" w:cs="Times New Roman"/>
          <w:color w:val="000000" w:themeColor="text1"/>
          <w:sz w:val="24"/>
          <w:szCs w:val="24"/>
        </w:rPr>
        <w:t>undermine the purposes envisioned by the IRA to remedy</w:t>
      </w:r>
      <w:r>
        <w:rPr>
          <w:rFonts w:ascii="Times New Roman" w:hAnsi="Times New Roman" w:cs="Times New Roman"/>
          <w:color w:val="000000" w:themeColor="text1"/>
          <w:sz w:val="24"/>
          <w:szCs w:val="24"/>
        </w:rPr>
        <w:t xml:space="preserve"> the harms perpetrated on tribal communities by</w:t>
      </w:r>
      <w:r w:rsidR="00C20533">
        <w:rPr>
          <w:rFonts w:ascii="Times New Roman" w:hAnsi="Times New Roman" w:cs="Times New Roman"/>
          <w:color w:val="000000" w:themeColor="text1"/>
          <w:sz w:val="24"/>
          <w:szCs w:val="24"/>
        </w:rPr>
        <w:t xml:space="preserve"> policies like</w:t>
      </w:r>
      <w:r>
        <w:rPr>
          <w:rFonts w:ascii="Times New Roman" w:hAnsi="Times New Roman" w:cs="Times New Roman"/>
          <w:color w:val="000000" w:themeColor="text1"/>
          <w:sz w:val="24"/>
          <w:szCs w:val="24"/>
        </w:rPr>
        <w:t xml:space="preserve"> the General Allotment Act of 1887.  Just as Congress acted in 1934 to remedy the devastating impacts of the General Allotment Act, Congress must act today to make clear that the United States’ responsibility to secure homelands extends to all tribes.</w:t>
      </w:r>
    </w:p>
    <w:p w:rsidR="007D5464" w:rsidRDefault="007D5464">
      <w:pPr>
        <w:autoSpaceDE w:val="0"/>
        <w:autoSpaceDN w:val="0"/>
        <w:adjustRightInd w:val="0"/>
        <w:spacing w:after="0" w:line="240" w:lineRule="auto"/>
        <w:rPr>
          <w:rFonts w:ascii="Times New Roman" w:hAnsi="Times New Roman" w:cs="Times New Roman"/>
          <w:color w:val="000000" w:themeColor="text1"/>
          <w:sz w:val="24"/>
          <w:szCs w:val="24"/>
        </w:rPr>
      </w:pPr>
    </w:p>
    <w:p w:rsidR="0093762B" w:rsidRDefault="0093762B" w:rsidP="00C20533">
      <w:pPr>
        <w:pStyle w:val="Default"/>
        <w:spacing w:line="276" w:lineRule="auto"/>
        <w:jc w:val="both"/>
      </w:pPr>
      <w:r w:rsidRPr="002205B3">
        <w:t xml:space="preserve">Following the </w:t>
      </w:r>
      <w:r w:rsidRPr="002205B3">
        <w:rPr>
          <w:i/>
          <w:iCs/>
        </w:rPr>
        <w:t>Carcieri</w:t>
      </w:r>
      <w:r w:rsidRPr="002205B3">
        <w:t xml:space="preserve"> decision, the Department must examine whether a tribe seeking to have land acquired in trust under the Indian Reorganization Act was “under federal jurisdiction” in 1934.  This is a fact-specific analysis that is conducted on a tribe-by-tribe basis.  The Department must conduct this analysis for every tribe, including those tribes whose jurisdictional status is unquestioned.   Because of the historical and fact-intensive nature of this inquiry, it can be time-consuming and costly for tribes and for the Department.  </w:t>
      </w:r>
    </w:p>
    <w:p w:rsidR="0093762B" w:rsidRDefault="0093762B" w:rsidP="00C20533">
      <w:pPr>
        <w:pStyle w:val="Default"/>
        <w:spacing w:line="276" w:lineRule="auto"/>
        <w:jc w:val="both"/>
      </w:pPr>
    </w:p>
    <w:p w:rsidR="007D5464" w:rsidRDefault="0093762B" w:rsidP="00C20533">
      <w:pPr>
        <w:pStyle w:val="Default"/>
        <w:spacing w:line="276" w:lineRule="auto"/>
      </w:pPr>
      <w:r w:rsidRPr="002205B3">
        <w:t>In the wake of th</w:t>
      </w:r>
      <w:r w:rsidR="004C25C9">
        <w:t xml:space="preserve">e </w:t>
      </w:r>
      <w:r w:rsidR="004C25C9" w:rsidRPr="009B232A">
        <w:rPr>
          <w:i/>
        </w:rPr>
        <w:t>Carcieri</w:t>
      </w:r>
      <w:r w:rsidRPr="002205B3">
        <w:t xml:space="preserve"> decision, both the Department and many tribes have been forced to spend an inordinate amount of time analyzing whether the tribes were under Federal jurisdiction in 1934 and thus entitled to have land taken into trust</w:t>
      </w:r>
      <w:r w:rsidR="004C25C9">
        <w:t>.</w:t>
      </w:r>
      <w:r w:rsidRPr="002205B3">
        <w:t xml:space="preserve">  </w:t>
      </w:r>
      <w:r>
        <w:t xml:space="preserve">We testified before this Committee, just over a year ago, on the burdens, costs and uncertainty on the fee to trust process that resulted from the </w:t>
      </w:r>
      <w:r w:rsidRPr="00B02C1F">
        <w:rPr>
          <w:i/>
        </w:rPr>
        <w:t>Carcieri</w:t>
      </w:r>
      <w:r>
        <w:t xml:space="preserve"> decision.  We stated then, and it continues to remain true, that</w:t>
      </w:r>
      <w:r w:rsidRPr="002205B3">
        <w:t xml:space="preserve"> </w:t>
      </w:r>
      <w:r>
        <w:t>o</w:t>
      </w:r>
      <w:r w:rsidRPr="002205B3">
        <w:t>nce this analysis is completed, if the Department decides to take land into trust and provides notice of its intent, th</w:t>
      </w:r>
      <w:r>
        <w:t>e</w:t>
      </w:r>
      <w:r w:rsidRPr="002205B3">
        <w:t xml:space="preserve"> </w:t>
      </w:r>
      <w:r w:rsidRPr="00B02C1F">
        <w:rPr>
          <w:i/>
        </w:rPr>
        <w:t xml:space="preserve">Carcieri </w:t>
      </w:r>
      <w:r w:rsidRPr="002205B3">
        <w:t>decision makes it likely that we will face costly and complex litigation over whether applicant tribes were under federal jurisdiction in 1934.</w:t>
      </w:r>
    </w:p>
    <w:p w:rsidR="004C25C9" w:rsidRDefault="001074A1"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5C4679" w:rsidRPr="002205B3">
        <w:rPr>
          <w:rFonts w:ascii="Times New Roman" w:hAnsi="Times New Roman" w:cs="Times New Roman"/>
          <w:color w:val="000000" w:themeColor="text1"/>
          <w:sz w:val="24"/>
          <w:szCs w:val="24"/>
        </w:rPr>
        <w:t xml:space="preserve">he </w:t>
      </w:r>
      <w:r w:rsidR="005C4679" w:rsidRPr="002205B3">
        <w:rPr>
          <w:rFonts w:ascii="Times New Roman" w:hAnsi="Times New Roman" w:cs="Times New Roman"/>
          <w:i/>
          <w:color w:val="000000" w:themeColor="text1"/>
          <w:sz w:val="24"/>
          <w:szCs w:val="24"/>
        </w:rPr>
        <w:t>Carcieri</w:t>
      </w:r>
      <w:r w:rsidR="005C4679" w:rsidRPr="002205B3">
        <w:rPr>
          <w:rFonts w:ascii="Times New Roman" w:hAnsi="Times New Roman" w:cs="Times New Roman"/>
          <w:color w:val="000000" w:themeColor="text1"/>
          <w:sz w:val="24"/>
          <w:szCs w:val="24"/>
        </w:rPr>
        <w:t xml:space="preserve"> decision</w:t>
      </w:r>
      <w:r w:rsidR="001B1905" w:rsidRPr="002205B3">
        <w:rPr>
          <w:rFonts w:ascii="Times New Roman" w:hAnsi="Times New Roman" w:cs="Times New Roman"/>
          <w:color w:val="000000" w:themeColor="text1"/>
          <w:sz w:val="24"/>
          <w:szCs w:val="24"/>
        </w:rPr>
        <w:t xml:space="preserve"> undermine</w:t>
      </w:r>
      <w:r>
        <w:rPr>
          <w:rFonts w:ascii="Times New Roman" w:hAnsi="Times New Roman" w:cs="Times New Roman"/>
          <w:color w:val="000000" w:themeColor="text1"/>
          <w:sz w:val="24"/>
          <w:szCs w:val="24"/>
        </w:rPr>
        <w:t>s</w:t>
      </w:r>
      <w:r w:rsidR="001B1905" w:rsidRPr="002205B3">
        <w:rPr>
          <w:rFonts w:ascii="Times New Roman" w:hAnsi="Times New Roman" w:cs="Times New Roman"/>
          <w:color w:val="000000" w:themeColor="text1"/>
          <w:sz w:val="24"/>
          <w:szCs w:val="24"/>
        </w:rPr>
        <w:t xml:space="preserve"> the primary goal of Congress in enacting the Indian Reorganization Act: the acquisition of land in trust for tribes to secure a land base on which to live and engage in economic development.  Th</w:t>
      </w:r>
      <w:r>
        <w:rPr>
          <w:rFonts w:ascii="Times New Roman" w:hAnsi="Times New Roman" w:cs="Times New Roman"/>
          <w:color w:val="000000" w:themeColor="text1"/>
          <w:sz w:val="24"/>
          <w:szCs w:val="24"/>
        </w:rPr>
        <w:t>is</w:t>
      </w:r>
      <w:r w:rsidR="001B1905" w:rsidRPr="002205B3">
        <w:rPr>
          <w:rFonts w:ascii="Times New Roman" w:hAnsi="Times New Roman" w:cs="Times New Roman"/>
          <w:color w:val="000000" w:themeColor="text1"/>
          <w:sz w:val="24"/>
          <w:szCs w:val="24"/>
        </w:rPr>
        <w:t xml:space="preserve"> decision</w:t>
      </w:r>
      <w:r w:rsidR="005C4679" w:rsidRPr="002205B3">
        <w:rPr>
          <w:rFonts w:ascii="Times New Roman" w:hAnsi="Times New Roman" w:cs="Times New Roman"/>
          <w:color w:val="000000" w:themeColor="text1"/>
          <w:sz w:val="24"/>
          <w:szCs w:val="24"/>
        </w:rPr>
        <w:t xml:space="preserve"> </w:t>
      </w:r>
      <w:r w:rsidR="001B1905" w:rsidRPr="002205B3">
        <w:rPr>
          <w:rFonts w:ascii="Times New Roman" w:hAnsi="Times New Roman" w:cs="Times New Roman"/>
          <w:color w:val="000000" w:themeColor="text1"/>
          <w:sz w:val="24"/>
          <w:szCs w:val="24"/>
        </w:rPr>
        <w:t>impose</w:t>
      </w:r>
      <w:r>
        <w:rPr>
          <w:rFonts w:ascii="Times New Roman" w:hAnsi="Times New Roman" w:cs="Times New Roman"/>
          <w:color w:val="000000" w:themeColor="text1"/>
          <w:sz w:val="24"/>
          <w:szCs w:val="24"/>
        </w:rPr>
        <w:t>s</w:t>
      </w:r>
      <w:r w:rsidR="001B1905" w:rsidRPr="002205B3">
        <w:rPr>
          <w:rFonts w:ascii="Times New Roman" w:hAnsi="Times New Roman" w:cs="Times New Roman"/>
          <w:color w:val="000000" w:themeColor="text1"/>
          <w:sz w:val="24"/>
          <w:szCs w:val="24"/>
        </w:rPr>
        <w:t xml:space="preserve"> additional</w:t>
      </w:r>
      <w:r w:rsidR="006F52A3" w:rsidRPr="002205B3">
        <w:rPr>
          <w:rFonts w:ascii="Times New Roman" w:hAnsi="Times New Roman" w:cs="Times New Roman"/>
          <w:color w:val="000000" w:themeColor="text1"/>
          <w:sz w:val="24"/>
          <w:szCs w:val="24"/>
        </w:rPr>
        <w:t xml:space="preserve"> </w:t>
      </w:r>
      <w:r w:rsidR="00BE526D" w:rsidRPr="002205B3">
        <w:rPr>
          <w:rFonts w:ascii="Times New Roman" w:hAnsi="Times New Roman" w:cs="Times New Roman"/>
          <w:color w:val="000000" w:themeColor="text1"/>
          <w:sz w:val="24"/>
          <w:szCs w:val="24"/>
        </w:rPr>
        <w:t xml:space="preserve">administrative </w:t>
      </w:r>
      <w:r w:rsidR="006F52A3" w:rsidRPr="002205B3">
        <w:rPr>
          <w:rFonts w:ascii="Times New Roman" w:hAnsi="Times New Roman" w:cs="Times New Roman"/>
          <w:color w:val="000000" w:themeColor="text1"/>
          <w:sz w:val="24"/>
          <w:szCs w:val="24"/>
        </w:rPr>
        <w:t xml:space="preserve">burdens on the Department’s </w:t>
      </w:r>
      <w:r w:rsidR="00091781" w:rsidRPr="002205B3">
        <w:rPr>
          <w:rFonts w:ascii="Times New Roman" w:hAnsi="Times New Roman" w:cs="Times New Roman"/>
          <w:color w:val="000000" w:themeColor="text1"/>
          <w:sz w:val="24"/>
          <w:szCs w:val="24"/>
        </w:rPr>
        <w:t xml:space="preserve">long-standing </w:t>
      </w:r>
      <w:r w:rsidR="006F52A3" w:rsidRPr="002205B3">
        <w:rPr>
          <w:rFonts w:ascii="Times New Roman" w:hAnsi="Times New Roman" w:cs="Times New Roman"/>
          <w:color w:val="000000" w:themeColor="text1"/>
          <w:sz w:val="24"/>
          <w:szCs w:val="24"/>
        </w:rPr>
        <w:t xml:space="preserve">approach to trust acquisitions </w:t>
      </w:r>
      <w:r w:rsidR="00091781" w:rsidRPr="002205B3">
        <w:rPr>
          <w:rFonts w:ascii="Times New Roman" w:hAnsi="Times New Roman" w:cs="Times New Roman"/>
          <w:color w:val="000000" w:themeColor="text1"/>
          <w:sz w:val="24"/>
          <w:szCs w:val="24"/>
        </w:rPr>
        <w:t xml:space="preserve">and </w:t>
      </w:r>
      <w:r w:rsidR="006F52A3" w:rsidRPr="002205B3">
        <w:rPr>
          <w:rFonts w:ascii="Times New Roman" w:hAnsi="Times New Roman" w:cs="Times New Roman"/>
          <w:color w:val="000000" w:themeColor="text1"/>
          <w:sz w:val="24"/>
          <w:szCs w:val="24"/>
        </w:rPr>
        <w:t>the</w:t>
      </w:r>
      <w:r w:rsidR="00A60793">
        <w:rPr>
          <w:rFonts w:ascii="Times New Roman" w:hAnsi="Times New Roman" w:cs="Times New Roman"/>
          <w:color w:val="000000" w:themeColor="text1"/>
          <w:sz w:val="24"/>
          <w:szCs w:val="24"/>
        </w:rPr>
        <w:t xml:space="preserve"> uncertainty created by</w:t>
      </w:r>
      <w:r w:rsidR="006F52A3" w:rsidRPr="002205B3">
        <w:rPr>
          <w:rFonts w:ascii="Times New Roman" w:hAnsi="Times New Roman" w:cs="Times New Roman"/>
          <w:color w:val="000000" w:themeColor="text1"/>
          <w:sz w:val="24"/>
          <w:szCs w:val="24"/>
        </w:rPr>
        <w:t xml:space="preserve"> Court’s decision </w:t>
      </w:r>
      <w:r w:rsidR="00A60793">
        <w:rPr>
          <w:rFonts w:ascii="Times New Roman" w:hAnsi="Times New Roman" w:cs="Times New Roman"/>
          <w:color w:val="000000" w:themeColor="text1"/>
          <w:sz w:val="24"/>
          <w:szCs w:val="24"/>
        </w:rPr>
        <w:t xml:space="preserve">serves to </w:t>
      </w:r>
      <w:r w:rsidR="00091781" w:rsidRPr="002205B3">
        <w:rPr>
          <w:rFonts w:ascii="Times New Roman" w:hAnsi="Times New Roman" w:cs="Times New Roman"/>
          <w:color w:val="000000" w:themeColor="text1"/>
          <w:sz w:val="24"/>
          <w:szCs w:val="24"/>
        </w:rPr>
        <w:t xml:space="preserve">destabilize tribal economies and their surrounding communities. </w:t>
      </w:r>
      <w:r w:rsidR="0009095F">
        <w:rPr>
          <w:rFonts w:ascii="Times New Roman" w:hAnsi="Times New Roman" w:cs="Times New Roman"/>
          <w:color w:val="000000" w:themeColor="text1"/>
          <w:sz w:val="24"/>
          <w:szCs w:val="24"/>
        </w:rPr>
        <w:t xml:space="preserve">The Court’s decision in </w:t>
      </w:r>
      <w:r w:rsidR="00111AFB" w:rsidRPr="00111AFB">
        <w:rPr>
          <w:rFonts w:ascii="Times New Roman" w:hAnsi="Times New Roman" w:cs="Times New Roman"/>
          <w:i/>
          <w:color w:val="000000" w:themeColor="text1"/>
          <w:sz w:val="24"/>
          <w:szCs w:val="24"/>
        </w:rPr>
        <w:t>Patchak</w:t>
      </w:r>
      <w:r w:rsidR="0009095F">
        <w:rPr>
          <w:rFonts w:ascii="Times New Roman" w:hAnsi="Times New Roman" w:cs="Times New Roman"/>
          <w:i/>
          <w:color w:val="000000" w:themeColor="text1"/>
          <w:sz w:val="24"/>
          <w:szCs w:val="24"/>
        </w:rPr>
        <w:t>,</w:t>
      </w:r>
      <w:r w:rsidR="00111AFB" w:rsidRPr="00111AFB">
        <w:rPr>
          <w:rStyle w:val="FootnoteReference"/>
          <w:rFonts w:ascii="Times New Roman" w:hAnsi="Times New Roman" w:cs="Times New Roman"/>
          <w:color w:val="000000" w:themeColor="text1"/>
          <w:sz w:val="24"/>
          <w:szCs w:val="24"/>
        </w:rPr>
        <w:footnoteReference w:id="2"/>
      </w:r>
      <w:r w:rsidR="00111AFB" w:rsidRPr="00111AFB">
        <w:rPr>
          <w:rFonts w:ascii="Times New Roman" w:hAnsi="Times New Roman" w:cs="Times New Roman"/>
          <w:color w:val="000000" w:themeColor="text1"/>
          <w:sz w:val="24"/>
          <w:szCs w:val="24"/>
        </w:rPr>
        <w:t xml:space="preserve"> </w:t>
      </w:r>
      <w:r w:rsidR="0009095F">
        <w:rPr>
          <w:rFonts w:ascii="Times New Roman" w:hAnsi="Times New Roman" w:cs="Times New Roman"/>
          <w:color w:val="000000" w:themeColor="text1"/>
          <w:sz w:val="24"/>
          <w:szCs w:val="24"/>
        </w:rPr>
        <w:t xml:space="preserve">further undermines tribal self-determination and self-governance by providing litigants an opportunity to challenge trust acquisitions even when the land is already held in trust.  </w:t>
      </w:r>
    </w:p>
    <w:p w:rsidR="004C25C9" w:rsidRDefault="004C25C9" w:rsidP="00C20533">
      <w:pPr>
        <w:autoSpaceDE w:val="0"/>
        <w:autoSpaceDN w:val="0"/>
        <w:adjustRightInd w:val="0"/>
        <w:spacing w:after="0"/>
        <w:rPr>
          <w:rFonts w:ascii="Times New Roman" w:hAnsi="Times New Roman" w:cs="Times New Roman"/>
          <w:color w:val="000000" w:themeColor="text1"/>
          <w:sz w:val="24"/>
          <w:szCs w:val="24"/>
        </w:rPr>
      </w:pPr>
    </w:p>
    <w:p w:rsidR="007D5464" w:rsidRDefault="0009095F" w:rsidP="00C20533">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Administration recently promulgated </w:t>
      </w:r>
      <w:r w:rsidR="004C25C9">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rule </w:t>
      </w:r>
      <w:r w:rsidR="004C25C9">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 xml:space="preserve">implements a “patch” to address </w:t>
      </w:r>
      <w:r w:rsidR="00111AFB" w:rsidRPr="00111AFB">
        <w:rPr>
          <w:rFonts w:ascii="Times New Roman" w:hAnsi="Times New Roman" w:cs="Times New Roman"/>
          <w:i/>
          <w:color w:val="000000" w:themeColor="text1"/>
          <w:sz w:val="24"/>
          <w:szCs w:val="24"/>
        </w:rPr>
        <w:t>Patchak</w:t>
      </w:r>
      <w:r>
        <w:rPr>
          <w:rFonts w:ascii="Times New Roman" w:hAnsi="Times New Roman" w:cs="Times New Roman"/>
          <w:color w:val="000000" w:themeColor="text1"/>
          <w:sz w:val="24"/>
          <w:szCs w:val="24"/>
        </w:rPr>
        <w:t xml:space="preserve"> by </w:t>
      </w:r>
      <w:r w:rsidR="00C20533">
        <w:rPr>
          <w:rFonts w:ascii="Times New Roman" w:hAnsi="Times New Roman" w:cs="Times New Roman"/>
          <w:color w:val="000000" w:themeColor="text1"/>
          <w:sz w:val="24"/>
          <w:szCs w:val="24"/>
        </w:rPr>
        <w:t>clarifying</w:t>
      </w:r>
      <w:r>
        <w:rPr>
          <w:rFonts w:ascii="Times New Roman" w:hAnsi="Times New Roman" w:cs="Times New Roman"/>
          <w:color w:val="000000" w:themeColor="text1"/>
          <w:sz w:val="24"/>
          <w:szCs w:val="24"/>
        </w:rPr>
        <w:t xml:space="preserve"> that the Department will immediately place land in trust once the </w:t>
      </w:r>
      <w:r w:rsidR="00C20533">
        <w:rPr>
          <w:rFonts w:ascii="Times New Roman" w:hAnsi="Times New Roman" w:cs="Times New Roman"/>
          <w:color w:val="000000" w:themeColor="text1"/>
          <w:sz w:val="24"/>
          <w:szCs w:val="24"/>
        </w:rPr>
        <w:t>agency makes a</w:t>
      </w:r>
      <w:r>
        <w:rPr>
          <w:rFonts w:ascii="Times New Roman" w:hAnsi="Times New Roman" w:cs="Times New Roman"/>
          <w:color w:val="000000" w:themeColor="text1"/>
          <w:sz w:val="24"/>
          <w:szCs w:val="24"/>
        </w:rPr>
        <w:t xml:space="preserve"> final </w:t>
      </w:r>
      <w:r w:rsidR="00C20533">
        <w:rPr>
          <w:rFonts w:ascii="Times New Roman" w:hAnsi="Times New Roman" w:cs="Times New Roman"/>
          <w:color w:val="000000" w:themeColor="text1"/>
          <w:sz w:val="24"/>
          <w:szCs w:val="24"/>
        </w:rPr>
        <w:t>decision to take the land into trust</w:t>
      </w:r>
      <w:r>
        <w:rPr>
          <w:rFonts w:ascii="Times New Roman" w:hAnsi="Times New Roman" w:cs="Times New Roman"/>
          <w:color w:val="000000" w:themeColor="text1"/>
          <w:sz w:val="24"/>
          <w:szCs w:val="24"/>
        </w:rPr>
        <w:t xml:space="preserve">. While the </w:t>
      </w:r>
      <w:r>
        <w:rPr>
          <w:rFonts w:ascii="Times New Roman" w:hAnsi="Times New Roman" w:cs="Times New Roman"/>
          <w:i/>
          <w:color w:val="000000" w:themeColor="text1"/>
          <w:sz w:val="24"/>
          <w:szCs w:val="24"/>
        </w:rPr>
        <w:t>Patchak</w:t>
      </w:r>
      <w:r>
        <w:rPr>
          <w:rFonts w:ascii="Times New Roman" w:hAnsi="Times New Roman" w:cs="Times New Roman"/>
          <w:color w:val="000000" w:themeColor="text1"/>
          <w:sz w:val="24"/>
          <w:szCs w:val="24"/>
        </w:rPr>
        <w:t xml:space="preserve"> patch will </w:t>
      </w:r>
      <w:r w:rsidR="0093762B">
        <w:rPr>
          <w:rFonts w:ascii="Times New Roman" w:hAnsi="Times New Roman" w:cs="Times New Roman"/>
          <w:color w:val="000000" w:themeColor="text1"/>
          <w:sz w:val="24"/>
          <w:szCs w:val="24"/>
        </w:rPr>
        <w:t>provide some relief</w:t>
      </w:r>
      <w:r w:rsidR="00C20533">
        <w:rPr>
          <w:rFonts w:ascii="Times New Roman" w:hAnsi="Times New Roman" w:cs="Times New Roman"/>
          <w:color w:val="000000" w:themeColor="text1"/>
          <w:sz w:val="24"/>
          <w:szCs w:val="24"/>
        </w:rPr>
        <w:t xml:space="preserve"> for the problems </w:t>
      </w:r>
      <w:r w:rsidR="00C20533" w:rsidRPr="00C20533">
        <w:rPr>
          <w:rFonts w:ascii="Times New Roman" w:hAnsi="Times New Roman" w:cs="Times New Roman"/>
          <w:i/>
          <w:color w:val="000000" w:themeColor="text1"/>
          <w:sz w:val="24"/>
          <w:szCs w:val="24"/>
        </w:rPr>
        <w:t>Patchak</w:t>
      </w:r>
      <w:r w:rsidR="00C20533">
        <w:rPr>
          <w:rFonts w:ascii="Times New Roman" w:hAnsi="Times New Roman" w:cs="Times New Roman"/>
          <w:color w:val="000000" w:themeColor="text1"/>
          <w:sz w:val="24"/>
          <w:szCs w:val="24"/>
        </w:rPr>
        <w:t xml:space="preserve"> created</w:t>
      </w:r>
      <w:r w:rsidR="007330D0">
        <w:rPr>
          <w:rFonts w:ascii="Times New Roman" w:hAnsi="Times New Roman" w:cs="Times New Roman"/>
          <w:color w:val="000000" w:themeColor="text1"/>
          <w:sz w:val="24"/>
          <w:szCs w:val="24"/>
        </w:rPr>
        <w:t>, t</w:t>
      </w:r>
      <w:r w:rsidR="006F52A3" w:rsidRPr="002205B3">
        <w:rPr>
          <w:rFonts w:ascii="Times New Roman" w:hAnsi="Times New Roman" w:cs="Times New Roman"/>
          <w:color w:val="000000" w:themeColor="text1"/>
          <w:sz w:val="24"/>
          <w:szCs w:val="24"/>
        </w:rPr>
        <w:t xml:space="preserve">he </w:t>
      </w:r>
      <w:r w:rsidR="00850E6C" w:rsidRPr="002205B3">
        <w:rPr>
          <w:rFonts w:ascii="Times New Roman" w:hAnsi="Times New Roman" w:cs="Times New Roman"/>
          <w:i/>
          <w:color w:val="000000" w:themeColor="text1"/>
          <w:sz w:val="24"/>
          <w:szCs w:val="24"/>
        </w:rPr>
        <w:t>Carcieri</w:t>
      </w:r>
      <w:r w:rsidR="00A97AB8" w:rsidRPr="002205B3">
        <w:rPr>
          <w:rFonts w:ascii="Times New Roman" w:hAnsi="Times New Roman" w:cs="Times New Roman"/>
          <w:color w:val="000000" w:themeColor="text1"/>
          <w:sz w:val="24"/>
          <w:szCs w:val="24"/>
        </w:rPr>
        <w:t xml:space="preserve"> </w:t>
      </w:r>
      <w:r w:rsidR="006F52A3" w:rsidRPr="002205B3">
        <w:rPr>
          <w:rFonts w:ascii="Times New Roman" w:hAnsi="Times New Roman" w:cs="Times New Roman"/>
          <w:color w:val="000000" w:themeColor="text1"/>
          <w:sz w:val="24"/>
          <w:szCs w:val="24"/>
        </w:rPr>
        <w:t>decision</w:t>
      </w:r>
      <w:r>
        <w:rPr>
          <w:rFonts w:ascii="Times New Roman" w:hAnsi="Times New Roman" w:cs="Times New Roman"/>
          <w:color w:val="000000" w:themeColor="text1"/>
          <w:sz w:val="24"/>
          <w:szCs w:val="24"/>
        </w:rPr>
        <w:t xml:space="preserve">, combined with the </w:t>
      </w:r>
      <w:r w:rsidR="00111AFB" w:rsidRPr="00111AFB">
        <w:rPr>
          <w:rFonts w:ascii="Times New Roman" w:hAnsi="Times New Roman" w:cs="Times New Roman"/>
          <w:i/>
          <w:color w:val="000000" w:themeColor="text1"/>
          <w:sz w:val="24"/>
          <w:szCs w:val="24"/>
        </w:rPr>
        <w:t>Patchak</w:t>
      </w:r>
      <w:r>
        <w:rPr>
          <w:rFonts w:ascii="Times New Roman" w:hAnsi="Times New Roman" w:cs="Times New Roman"/>
          <w:color w:val="000000" w:themeColor="text1"/>
          <w:sz w:val="24"/>
          <w:szCs w:val="24"/>
        </w:rPr>
        <w:t xml:space="preserve"> decision</w:t>
      </w:r>
      <w:r w:rsidR="0093762B">
        <w:rPr>
          <w:rFonts w:ascii="Times New Roman" w:hAnsi="Times New Roman" w:cs="Times New Roman"/>
          <w:color w:val="000000" w:themeColor="text1"/>
          <w:sz w:val="24"/>
          <w:szCs w:val="24"/>
        </w:rPr>
        <w:t xml:space="preserve">, </w:t>
      </w:r>
      <w:r w:rsidR="005C4679" w:rsidRPr="002205B3">
        <w:rPr>
          <w:rFonts w:ascii="Times New Roman" w:hAnsi="Times New Roman" w:cs="Times New Roman"/>
          <w:color w:val="000000" w:themeColor="text1"/>
          <w:sz w:val="24"/>
          <w:szCs w:val="24"/>
        </w:rPr>
        <w:t>cast</w:t>
      </w:r>
      <w:r w:rsidR="0093762B">
        <w:rPr>
          <w:rFonts w:ascii="Times New Roman" w:hAnsi="Times New Roman" w:cs="Times New Roman"/>
          <w:color w:val="000000" w:themeColor="text1"/>
          <w:sz w:val="24"/>
          <w:szCs w:val="24"/>
        </w:rPr>
        <w:t>s</w:t>
      </w:r>
      <w:r w:rsidR="005C4679" w:rsidRPr="002205B3">
        <w:rPr>
          <w:rFonts w:ascii="Times New Roman" w:hAnsi="Times New Roman" w:cs="Times New Roman"/>
          <w:color w:val="000000" w:themeColor="text1"/>
          <w:sz w:val="24"/>
          <w:szCs w:val="24"/>
        </w:rPr>
        <w:t xml:space="preserve"> </w:t>
      </w:r>
      <w:r w:rsidR="009217AE" w:rsidRPr="002205B3">
        <w:rPr>
          <w:rFonts w:ascii="Times New Roman" w:hAnsi="Times New Roman" w:cs="Times New Roman"/>
          <w:color w:val="000000" w:themeColor="text1"/>
          <w:sz w:val="24"/>
          <w:szCs w:val="24"/>
        </w:rPr>
        <w:t xml:space="preserve">a </w:t>
      </w:r>
      <w:r w:rsidR="004C25C9">
        <w:rPr>
          <w:rFonts w:ascii="Times New Roman" w:hAnsi="Times New Roman" w:cs="Times New Roman"/>
          <w:color w:val="000000" w:themeColor="text1"/>
          <w:sz w:val="24"/>
          <w:szCs w:val="24"/>
        </w:rPr>
        <w:t xml:space="preserve">dark </w:t>
      </w:r>
      <w:r w:rsidR="009217AE" w:rsidRPr="002205B3">
        <w:rPr>
          <w:rFonts w:ascii="Times New Roman" w:hAnsi="Times New Roman" w:cs="Times New Roman"/>
          <w:color w:val="000000" w:themeColor="text1"/>
          <w:sz w:val="24"/>
          <w:szCs w:val="24"/>
        </w:rPr>
        <w:t xml:space="preserve">cloud of uncertainty </w:t>
      </w:r>
      <w:r w:rsidR="005C4679" w:rsidRPr="002205B3">
        <w:rPr>
          <w:rFonts w:ascii="Times New Roman" w:hAnsi="Times New Roman" w:cs="Times New Roman"/>
          <w:color w:val="000000" w:themeColor="text1"/>
          <w:sz w:val="24"/>
          <w:szCs w:val="24"/>
        </w:rPr>
        <w:t xml:space="preserve">on </w:t>
      </w:r>
      <w:r w:rsidR="0093762B">
        <w:rPr>
          <w:rFonts w:ascii="Times New Roman" w:hAnsi="Times New Roman" w:cs="Times New Roman"/>
          <w:color w:val="000000" w:themeColor="text1"/>
          <w:sz w:val="24"/>
          <w:szCs w:val="24"/>
        </w:rPr>
        <w:t>land acquisitions</w:t>
      </w:r>
      <w:r w:rsidR="005C4679" w:rsidRPr="002205B3">
        <w:rPr>
          <w:rFonts w:ascii="Times New Roman" w:hAnsi="Times New Roman" w:cs="Times New Roman"/>
          <w:color w:val="000000" w:themeColor="text1"/>
          <w:sz w:val="24"/>
          <w:szCs w:val="24"/>
        </w:rPr>
        <w:t xml:space="preserve"> for tribes under the Indian Reorganization Act</w:t>
      </w:r>
      <w:r w:rsidR="001B1905" w:rsidRPr="002205B3">
        <w:rPr>
          <w:rFonts w:ascii="Times New Roman" w:hAnsi="Times New Roman" w:cs="Times New Roman"/>
          <w:color w:val="000000" w:themeColor="text1"/>
          <w:sz w:val="24"/>
          <w:szCs w:val="24"/>
        </w:rPr>
        <w:t>,</w:t>
      </w:r>
      <w:r w:rsidR="006F52A3" w:rsidRPr="002205B3">
        <w:rPr>
          <w:rFonts w:ascii="Times New Roman" w:hAnsi="Times New Roman" w:cs="Times New Roman"/>
          <w:color w:val="000000" w:themeColor="text1"/>
          <w:sz w:val="24"/>
          <w:szCs w:val="24"/>
        </w:rPr>
        <w:t xml:space="preserve"> and </w:t>
      </w:r>
      <w:r w:rsidR="001B1905" w:rsidRPr="002205B3">
        <w:rPr>
          <w:rFonts w:ascii="Times New Roman" w:hAnsi="Times New Roman" w:cs="Times New Roman"/>
          <w:color w:val="000000" w:themeColor="text1"/>
          <w:sz w:val="24"/>
          <w:szCs w:val="24"/>
        </w:rPr>
        <w:t>ultimately inhibit</w:t>
      </w:r>
      <w:r w:rsidR="007153C4">
        <w:rPr>
          <w:rFonts w:ascii="Times New Roman" w:hAnsi="Times New Roman" w:cs="Times New Roman"/>
          <w:color w:val="000000" w:themeColor="text1"/>
          <w:sz w:val="24"/>
          <w:szCs w:val="24"/>
        </w:rPr>
        <w:t>s</w:t>
      </w:r>
      <w:r w:rsidR="00BE526D" w:rsidRPr="002205B3">
        <w:rPr>
          <w:rFonts w:ascii="Times New Roman" w:hAnsi="Times New Roman" w:cs="Times New Roman"/>
          <w:color w:val="000000" w:themeColor="text1"/>
          <w:sz w:val="24"/>
          <w:szCs w:val="24"/>
        </w:rPr>
        <w:t xml:space="preserve"> and discourage</w:t>
      </w:r>
      <w:r w:rsidR="007153C4">
        <w:rPr>
          <w:rFonts w:ascii="Times New Roman" w:hAnsi="Times New Roman" w:cs="Times New Roman"/>
          <w:color w:val="000000" w:themeColor="text1"/>
          <w:sz w:val="24"/>
          <w:szCs w:val="24"/>
        </w:rPr>
        <w:t>s</w:t>
      </w:r>
      <w:r w:rsidR="001B1905" w:rsidRPr="002205B3">
        <w:rPr>
          <w:rFonts w:ascii="Times New Roman" w:hAnsi="Times New Roman" w:cs="Times New Roman"/>
          <w:color w:val="000000" w:themeColor="text1"/>
          <w:sz w:val="24"/>
          <w:szCs w:val="24"/>
        </w:rPr>
        <w:t xml:space="preserve"> </w:t>
      </w:r>
      <w:r w:rsidR="005C4679" w:rsidRPr="002205B3">
        <w:rPr>
          <w:rFonts w:ascii="Times New Roman" w:hAnsi="Times New Roman" w:cs="Times New Roman"/>
          <w:color w:val="000000" w:themeColor="text1"/>
          <w:sz w:val="24"/>
          <w:szCs w:val="24"/>
        </w:rPr>
        <w:t>the</w:t>
      </w:r>
      <w:r w:rsidR="009217AE" w:rsidRPr="002205B3">
        <w:rPr>
          <w:rFonts w:ascii="Times New Roman" w:hAnsi="Times New Roman" w:cs="Times New Roman"/>
          <w:color w:val="000000" w:themeColor="text1"/>
          <w:sz w:val="24"/>
          <w:szCs w:val="24"/>
        </w:rPr>
        <w:t xml:space="preserve"> productive use of </w:t>
      </w:r>
      <w:r w:rsidR="001B1905" w:rsidRPr="002205B3">
        <w:rPr>
          <w:rFonts w:ascii="Times New Roman" w:hAnsi="Times New Roman" w:cs="Times New Roman"/>
          <w:color w:val="000000" w:themeColor="text1"/>
          <w:sz w:val="24"/>
          <w:szCs w:val="24"/>
        </w:rPr>
        <w:t xml:space="preserve">tribal trust </w:t>
      </w:r>
      <w:r w:rsidR="009217AE" w:rsidRPr="002205B3">
        <w:rPr>
          <w:rFonts w:ascii="Times New Roman" w:hAnsi="Times New Roman" w:cs="Times New Roman"/>
          <w:color w:val="000000" w:themeColor="text1"/>
          <w:sz w:val="24"/>
          <w:szCs w:val="24"/>
        </w:rPr>
        <w:t>land itself</w:t>
      </w:r>
      <w:r w:rsidR="005C4679" w:rsidRPr="002205B3">
        <w:rPr>
          <w:rFonts w:ascii="Times New Roman" w:hAnsi="Times New Roman" w:cs="Times New Roman"/>
          <w:color w:val="000000" w:themeColor="text1"/>
          <w:sz w:val="24"/>
          <w:szCs w:val="24"/>
        </w:rPr>
        <w:t xml:space="preserve">.  </w:t>
      </w:r>
    </w:p>
    <w:p w:rsidR="00CC4005" w:rsidRPr="002205B3" w:rsidRDefault="00CC4005" w:rsidP="0016097B">
      <w:pPr>
        <w:pStyle w:val="Default"/>
        <w:jc w:val="both"/>
        <w:rPr>
          <w:color w:val="000000" w:themeColor="text1"/>
        </w:rPr>
      </w:pPr>
    </w:p>
    <w:p w:rsidR="009843F2" w:rsidRPr="002205B3" w:rsidRDefault="009843F2" w:rsidP="009843F2">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2205B3">
        <w:rPr>
          <w:rFonts w:ascii="Times New Roman" w:hAnsi="Times New Roman" w:cs="Times New Roman"/>
          <w:b/>
          <w:color w:val="000000" w:themeColor="text1"/>
          <w:sz w:val="24"/>
          <w:szCs w:val="24"/>
        </w:rPr>
        <w:t xml:space="preserve">Conclusion </w:t>
      </w:r>
    </w:p>
    <w:p w:rsidR="009843F2" w:rsidRPr="002205B3" w:rsidRDefault="009843F2" w:rsidP="009843F2">
      <w:pPr>
        <w:pStyle w:val="Default"/>
        <w:jc w:val="both"/>
        <w:rPr>
          <w:color w:val="000000" w:themeColor="text1"/>
        </w:rPr>
      </w:pPr>
    </w:p>
    <w:p w:rsidR="00926EEA" w:rsidRDefault="00926EEA" w:rsidP="00C20533">
      <w:pPr>
        <w:shd w:val="clear" w:color="auto" w:fill="FFFFFF"/>
        <w:spacing w:after="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In 1934, Congress acted to correct the Federal Government’s allotment and assimilation policies.  Congress’ action then was designed to foster tribal self-determination and economic development and in the decades that followed, the Department implemented this responsibility for all tribes. Today, the Federal Government and Indian country continue to address the present day harms that emanate from the policies of more than a century ago, yet </w:t>
      </w:r>
      <w:r w:rsidRPr="00111AFB">
        <w:rPr>
          <w:rFonts w:ascii="Times New Roman" w:eastAsia="Times New Roman" w:hAnsi="Times New Roman" w:cs="Times New Roman"/>
          <w:i/>
          <w:color w:val="000000" w:themeColor="text1"/>
          <w:sz w:val="24"/>
          <w:szCs w:val="24"/>
        </w:rPr>
        <w:t>Carcieri</w:t>
      </w:r>
      <w:r>
        <w:rPr>
          <w:rFonts w:ascii="Times New Roman" w:eastAsia="Times New Roman" w:hAnsi="Times New Roman" w:cs="Times New Roman"/>
          <w:color w:val="000000" w:themeColor="text1"/>
          <w:sz w:val="24"/>
          <w:szCs w:val="24"/>
        </w:rPr>
        <w:t xml:space="preserve"> injects tangible costs and delays that impede progress in Indian country. </w:t>
      </w:r>
      <w:r w:rsidRPr="002205B3">
        <w:rPr>
          <w:rFonts w:ascii="Times New Roman" w:hAnsi="Times New Roman" w:cs="Times New Roman"/>
          <w:color w:val="000000" w:themeColor="text1"/>
          <w:sz w:val="24"/>
          <w:szCs w:val="24"/>
        </w:rPr>
        <w:t>The power to acquire lands in trust is an essential tool for the United States to effectuate its longstanding policy of fostering tribal</w:t>
      </w:r>
      <w:r>
        <w:rPr>
          <w:rFonts w:ascii="Times New Roman" w:hAnsi="Times New Roman" w:cs="Times New Roman"/>
          <w:color w:val="000000" w:themeColor="text1"/>
          <w:sz w:val="24"/>
          <w:szCs w:val="24"/>
        </w:rPr>
        <w:t xml:space="preserve"> </w:t>
      </w:r>
      <w:r w:rsidRPr="002205B3">
        <w:rPr>
          <w:rFonts w:ascii="Times New Roman" w:hAnsi="Times New Roman" w:cs="Times New Roman"/>
          <w:color w:val="000000" w:themeColor="text1"/>
          <w:sz w:val="24"/>
          <w:szCs w:val="24"/>
        </w:rPr>
        <w:t>self</w:t>
      </w:r>
      <w:r>
        <w:rPr>
          <w:rFonts w:ascii="Times New Roman" w:hAnsi="Times New Roman" w:cs="Times New Roman"/>
          <w:color w:val="000000" w:themeColor="text1"/>
          <w:sz w:val="24"/>
          <w:szCs w:val="24"/>
        </w:rPr>
        <w:t>-</w:t>
      </w:r>
      <w:r w:rsidRPr="002205B3">
        <w:rPr>
          <w:rFonts w:ascii="Times New Roman" w:hAnsi="Times New Roman" w:cs="Times New Roman"/>
          <w:color w:val="000000" w:themeColor="text1"/>
          <w:sz w:val="24"/>
          <w:szCs w:val="24"/>
        </w:rPr>
        <w:t xml:space="preserve">determination.  A system where some federally recognized tribes cannot enjoy the same rights and privileges available to other federally recognized tribes is unacceptable.  </w:t>
      </w:r>
      <w:r w:rsidRPr="006860AC">
        <w:rPr>
          <w:rFonts w:ascii="Times New Roman" w:hAnsi="Times New Roman" w:cs="Times New Roman"/>
          <w:color w:val="000000" w:themeColor="text1"/>
          <w:sz w:val="24"/>
          <w:szCs w:val="24"/>
        </w:rPr>
        <w:t xml:space="preserve">The President’s </w:t>
      </w:r>
      <w:r>
        <w:rPr>
          <w:rFonts w:ascii="Times New Roman" w:hAnsi="Times New Roman" w:cs="Times New Roman"/>
          <w:color w:val="000000" w:themeColor="text1"/>
          <w:sz w:val="24"/>
          <w:szCs w:val="24"/>
        </w:rPr>
        <w:t>proposed Fiscal Year 2014 Budget include</w:t>
      </w:r>
      <w:r w:rsidRPr="006860A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C941D0" w:rsidRPr="00C941D0">
        <w:rPr>
          <w:rFonts w:ascii="Times New Roman" w:hAnsi="Times New Roman" w:cs="Times New Roman"/>
          <w:color w:val="000000" w:themeColor="text1"/>
          <w:sz w:val="24"/>
          <w:szCs w:val="24"/>
        </w:rPr>
        <w:t>language that, if enacted, would resolve this issue.</w:t>
      </w:r>
      <w:r w:rsidR="00C941D0">
        <w:rPr>
          <w:rFonts w:ascii="Times New Roman" w:hAnsi="Times New Roman" w:cs="Times New Roman"/>
          <w:color w:val="000000" w:themeColor="text1"/>
          <w:sz w:val="24"/>
          <w:szCs w:val="24"/>
        </w:rPr>
        <w:t xml:space="preserve">  We look forward to working with the Committee and the Congress on this matter</w:t>
      </w:r>
      <w:r>
        <w:rPr>
          <w:rFonts w:ascii="Times New Roman" w:hAnsi="Times New Roman" w:cs="Times New Roman"/>
          <w:color w:val="000000" w:themeColor="text1"/>
          <w:sz w:val="24"/>
          <w:szCs w:val="24"/>
        </w:rPr>
        <w:t xml:space="preserve">.  </w:t>
      </w:r>
    </w:p>
    <w:p w:rsidR="00926EEA" w:rsidRDefault="00926EEA" w:rsidP="009843F2">
      <w:pPr>
        <w:spacing w:after="0" w:line="240" w:lineRule="auto"/>
        <w:jc w:val="both"/>
        <w:rPr>
          <w:rFonts w:ascii="Times New Roman" w:hAnsi="Times New Roman" w:cs="Times New Roman"/>
          <w:color w:val="000000" w:themeColor="text1"/>
          <w:sz w:val="24"/>
          <w:szCs w:val="24"/>
        </w:rPr>
      </w:pPr>
    </w:p>
    <w:p w:rsidR="009843F2" w:rsidRPr="00AB1284" w:rsidRDefault="009843F2" w:rsidP="00C20533">
      <w:pPr>
        <w:spacing w:after="0"/>
        <w:jc w:val="both"/>
        <w:rPr>
          <w:rFonts w:ascii="Times New Roman" w:hAnsi="Times New Roman" w:cs="Times New Roman"/>
          <w:color w:val="000000" w:themeColor="text1"/>
          <w:sz w:val="24"/>
          <w:szCs w:val="24"/>
        </w:rPr>
      </w:pPr>
      <w:r w:rsidRPr="002205B3">
        <w:rPr>
          <w:rFonts w:ascii="Times New Roman" w:hAnsi="Times New Roman" w:cs="Times New Roman"/>
          <w:color w:val="000000" w:themeColor="text1"/>
          <w:sz w:val="24"/>
          <w:szCs w:val="24"/>
        </w:rPr>
        <w:t>This concludes my statement. I would be happy to answer questions.</w:t>
      </w:r>
    </w:p>
    <w:p w:rsidR="00CD7334" w:rsidRPr="00AB1284" w:rsidRDefault="00CD7334" w:rsidP="00C20533">
      <w:pPr>
        <w:pStyle w:val="Default"/>
        <w:spacing w:line="276" w:lineRule="auto"/>
        <w:jc w:val="both"/>
        <w:rPr>
          <w:color w:val="000000" w:themeColor="text1"/>
        </w:rPr>
      </w:pPr>
    </w:p>
    <w:p w:rsidR="0016097B" w:rsidRPr="00AB1284" w:rsidRDefault="0016097B" w:rsidP="0016097B">
      <w:pPr>
        <w:spacing w:after="0" w:line="240" w:lineRule="auto"/>
        <w:rPr>
          <w:rFonts w:ascii="Times New Roman" w:hAnsi="Times New Roman" w:cs="Times New Roman"/>
          <w:sz w:val="24"/>
          <w:szCs w:val="24"/>
        </w:rPr>
      </w:pPr>
    </w:p>
    <w:sectPr w:rsidR="0016097B" w:rsidRPr="00AB1284" w:rsidSect="007772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62" w:rsidRDefault="00B26162" w:rsidP="002B2508">
      <w:pPr>
        <w:spacing w:after="0" w:line="240" w:lineRule="auto"/>
      </w:pPr>
      <w:r>
        <w:separator/>
      </w:r>
    </w:p>
  </w:endnote>
  <w:endnote w:type="continuationSeparator" w:id="0">
    <w:p w:rsidR="00B26162" w:rsidRDefault="00B26162" w:rsidP="002B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705483"/>
      <w:docPartObj>
        <w:docPartGallery w:val="Page Numbers (Bottom of Page)"/>
        <w:docPartUnique/>
      </w:docPartObj>
    </w:sdtPr>
    <w:sdtEndPr>
      <w:rPr>
        <w:rFonts w:ascii="Times New Roman" w:hAnsi="Times New Roman" w:cs="Times New Roman"/>
      </w:rPr>
    </w:sdtEndPr>
    <w:sdtContent>
      <w:p w:rsidR="009159BF" w:rsidRDefault="00111AFB">
        <w:pPr>
          <w:pStyle w:val="Footer"/>
          <w:jc w:val="right"/>
        </w:pPr>
        <w:r w:rsidRPr="008374E3">
          <w:rPr>
            <w:rFonts w:ascii="Times New Roman" w:hAnsi="Times New Roman" w:cs="Times New Roman"/>
          </w:rPr>
          <w:fldChar w:fldCharType="begin"/>
        </w:r>
        <w:r w:rsidR="009159BF" w:rsidRPr="008374E3">
          <w:rPr>
            <w:rFonts w:ascii="Times New Roman" w:hAnsi="Times New Roman" w:cs="Times New Roman"/>
          </w:rPr>
          <w:instrText xml:space="preserve"> PAGE   \* MERGEFORMAT </w:instrText>
        </w:r>
        <w:r w:rsidRPr="008374E3">
          <w:rPr>
            <w:rFonts w:ascii="Times New Roman" w:hAnsi="Times New Roman" w:cs="Times New Roman"/>
          </w:rPr>
          <w:fldChar w:fldCharType="separate"/>
        </w:r>
        <w:r w:rsidR="00025D98">
          <w:rPr>
            <w:rFonts w:ascii="Times New Roman" w:hAnsi="Times New Roman" w:cs="Times New Roman"/>
            <w:noProof/>
          </w:rPr>
          <w:t>2</w:t>
        </w:r>
        <w:r w:rsidRPr="008374E3">
          <w:rPr>
            <w:rFonts w:ascii="Times New Roman" w:hAnsi="Times New Roman" w:cs="Times New Roman"/>
          </w:rPr>
          <w:fldChar w:fldCharType="end"/>
        </w:r>
      </w:p>
    </w:sdtContent>
  </w:sdt>
  <w:p w:rsidR="009159BF" w:rsidRDefault="00915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62" w:rsidRDefault="00B26162" w:rsidP="002B2508">
      <w:pPr>
        <w:spacing w:after="0" w:line="240" w:lineRule="auto"/>
      </w:pPr>
      <w:r>
        <w:separator/>
      </w:r>
    </w:p>
  </w:footnote>
  <w:footnote w:type="continuationSeparator" w:id="0">
    <w:p w:rsidR="00B26162" w:rsidRDefault="00B26162" w:rsidP="002B2508">
      <w:pPr>
        <w:spacing w:after="0" w:line="240" w:lineRule="auto"/>
      </w:pPr>
      <w:r>
        <w:continuationSeparator/>
      </w:r>
    </w:p>
  </w:footnote>
  <w:footnote w:id="1">
    <w:p w:rsidR="00623140" w:rsidRPr="00F250CF" w:rsidRDefault="00623140" w:rsidP="00623140">
      <w:pPr>
        <w:pStyle w:val="FootnoteText"/>
        <w:tabs>
          <w:tab w:val="left" w:pos="2610"/>
        </w:tabs>
        <w:rPr>
          <w:rFonts w:ascii="Times New Roman" w:hAnsi="Times New Roman" w:cs="Times New Roman"/>
        </w:rPr>
      </w:pPr>
      <w:r w:rsidRPr="00F250CF">
        <w:rPr>
          <w:rStyle w:val="FootnoteReference"/>
          <w:rFonts w:ascii="Times New Roman" w:hAnsi="Times New Roman" w:cs="Times New Roman"/>
        </w:rPr>
        <w:footnoteRef/>
      </w:r>
      <w:r w:rsidRPr="00F250CF">
        <w:rPr>
          <w:rFonts w:ascii="Times New Roman" w:hAnsi="Times New Roman" w:cs="Times New Roman"/>
        </w:rPr>
        <w:t xml:space="preserve"> 555 U.S. 379 (2009).</w:t>
      </w:r>
    </w:p>
  </w:footnote>
  <w:footnote w:id="2">
    <w:p w:rsidR="0009095F" w:rsidRDefault="0009095F">
      <w:pPr>
        <w:pStyle w:val="FootnoteText"/>
      </w:pPr>
      <w:r>
        <w:rPr>
          <w:rStyle w:val="FootnoteReference"/>
        </w:rPr>
        <w:footnoteRef/>
      </w:r>
      <w:r>
        <w:t xml:space="preserve"> </w:t>
      </w:r>
      <w:r w:rsidR="002B6762" w:rsidRPr="00F250CF">
        <w:rPr>
          <w:rFonts w:ascii="Times New Roman" w:hAnsi="Times New Roman" w:cs="Times New Roman"/>
        </w:rPr>
        <w:t>132 S. Ct. 2199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73BB0"/>
    <w:multiLevelType w:val="hybridMultilevel"/>
    <w:tmpl w:val="E93C510C"/>
    <w:lvl w:ilvl="0" w:tplc="DCFC3B22">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006E1"/>
    <w:multiLevelType w:val="hybridMultilevel"/>
    <w:tmpl w:val="E93C510C"/>
    <w:lvl w:ilvl="0" w:tplc="DCFC3B22">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81A06"/>
    <w:multiLevelType w:val="hybridMultilevel"/>
    <w:tmpl w:val="30BAC0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E5"/>
    <w:rsid w:val="000000C7"/>
    <w:rsid w:val="00000EFA"/>
    <w:rsid w:val="00025D98"/>
    <w:rsid w:val="00033A1D"/>
    <w:rsid w:val="00036E8A"/>
    <w:rsid w:val="00055EEA"/>
    <w:rsid w:val="00071396"/>
    <w:rsid w:val="00071C98"/>
    <w:rsid w:val="0009095F"/>
    <w:rsid w:val="00090AE8"/>
    <w:rsid w:val="000915D7"/>
    <w:rsid w:val="00091781"/>
    <w:rsid w:val="000C4105"/>
    <w:rsid w:val="000C658C"/>
    <w:rsid w:val="000D35D3"/>
    <w:rsid w:val="0010021C"/>
    <w:rsid w:val="00102061"/>
    <w:rsid w:val="001052E4"/>
    <w:rsid w:val="001074A1"/>
    <w:rsid w:val="00111AFB"/>
    <w:rsid w:val="00114154"/>
    <w:rsid w:val="00117105"/>
    <w:rsid w:val="00117B47"/>
    <w:rsid w:val="00121279"/>
    <w:rsid w:val="00130BF1"/>
    <w:rsid w:val="001415EE"/>
    <w:rsid w:val="00153640"/>
    <w:rsid w:val="0016097B"/>
    <w:rsid w:val="00160F9A"/>
    <w:rsid w:val="00166918"/>
    <w:rsid w:val="00180CD0"/>
    <w:rsid w:val="00194B94"/>
    <w:rsid w:val="001A0783"/>
    <w:rsid w:val="001B1905"/>
    <w:rsid w:val="001F3F96"/>
    <w:rsid w:val="001F7738"/>
    <w:rsid w:val="002013B1"/>
    <w:rsid w:val="00206868"/>
    <w:rsid w:val="00212EFB"/>
    <w:rsid w:val="002205B3"/>
    <w:rsid w:val="00221C1E"/>
    <w:rsid w:val="00255A37"/>
    <w:rsid w:val="00256490"/>
    <w:rsid w:val="00262214"/>
    <w:rsid w:val="002759F3"/>
    <w:rsid w:val="0028153B"/>
    <w:rsid w:val="002826B7"/>
    <w:rsid w:val="002B2508"/>
    <w:rsid w:val="002B6762"/>
    <w:rsid w:val="002D0487"/>
    <w:rsid w:val="002E0EC3"/>
    <w:rsid w:val="002E2497"/>
    <w:rsid w:val="00303228"/>
    <w:rsid w:val="00306C49"/>
    <w:rsid w:val="003437F7"/>
    <w:rsid w:val="00346414"/>
    <w:rsid w:val="0035454D"/>
    <w:rsid w:val="00364348"/>
    <w:rsid w:val="00366D08"/>
    <w:rsid w:val="00387A09"/>
    <w:rsid w:val="003978A2"/>
    <w:rsid w:val="003B1D3A"/>
    <w:rsid w:val="003C278D"/>
    <w:rsid w:val="004002DA"/>
    <w:rsid w:val="00401255"/>
    <w:rsid w:val="00420245"/>
    <w:rsid w:val="00431E7C"/>
    <w:rsid w:val="004369C3"/>
    <w:rsid w:val="00451F4F"/>
    <w:rsid w:val="00453720"/>
    <w:rsid w:val="00492A3B"/>
    <w:rsid w:val="00495113"/>
    <w:rsid w:val="004B4375"/>
    <w:rsid w:val="004B737A"/>
    <w:rsid w:val="004C25C9"/>
    <w:rsid w:val="004D45AB"/>
    <w:rsid w:val="004E1A1A"/>
    <w:rsid w:val="00524FE1"/>
    <w:rsid w:val="00532959"/>
    <w:rsid w:val="00536AE6"/>
    <w:rsid w:val="00541BC3"/>
    <w:rsid w:val="0054392B"/>
    <w:rsid w:val="0056180F"/>
    <w:rsid w:val="00571161"/>
    <w:rsid w:val="00591EA5"/>
    <w:rsid w:val="00594E12"/>
    <w:rsid w:val="005A045B"/>
    <w:rsid w:val="005C4679"/>
    <w:rsid w:val="005D6758"/>
    <w:rsid w:val="005E7523"/>
    <w:rsid w:val="005F0EF0"/>
    <w:rsid w:val="005F2481"/>
    <w:rsid w:val="00623140"/>
    <w:rsid w:val="006238FF"/>
    <w:rsid w:val="00623FB6"/>
    <w:rsid w:val="00626F9E"/>
    <w:rsid w:val="00645422"/>
    <w:rsid w:val="006725FD"/>
    <w:rsid w:val="006753B8"/>
    <w:rsid w:val="006907A3"/>
    <w:rsid w:val="006934FA"/>
    <w:rsid w:val="006B2D7B"/>
    <w:rsid w:val="006B484D"/>
    <w:rsid w:val="006C1D84"/>
    <w:rsid w:val="006C4605"/>
    <w:rsid w:val="006E7378"/>
    <w:rsid w:val="006F46E5"/>
    <w:rsid w:val="006F52A3"/>
    <w:rsid w:val="007153C4"/>
    <w:rsid w:val="007207CC"/>
    <w:rsid w:val="007243E9"/>
    <w:rsid w:val="007330D0"/>
    <w:rsid w:val="007445EF"/>
    <w:rsid w:val="007719D4"/>
    <w:rsid w:val="00777272"/>
    <w:rsid w:val="007816DF"/>
    <w:rsid w:val="00790B08"/>
    <w:rsid w:val="00793ABB"/>
    <w:rsid w:val="007A3CE3"/>
    <w:rsid w:val="007A7E55"/>
    <w:rsid w:val="007B60BC"/>
    <w:rsid w:val="007D3205"/>
    <w:rsid w:val="007D5464"/>
    <w:rsid w:val="007F4393"/>
    <w:rsid w:val="007F59FD"/>
    <w:rsid w:val="00807FD6"/>
    <w:rsid w:val="00835CFA"/>
    <w:rsid w:val="008374E3"/>
    <w:rsid w:val="00850E6C"/>
    <w:rsid w:val="00851F49"/>
    <w:rsid w:val="008720B3"/>
    <w:rsid w:val="0087564A"/>
    <w:rsid w:val="00881CAF"/>
    <w:rsid w:val="008913B1"/>
    <w:rsid w:val="008D4654"/>
    <w:rsid w:val="008E0950"/>
    <w:rsid w:val="008F4680"/>
    <w:rsid w:val="009159BF"/>
    <w:rsid w:val="009217AE"/>
    <w:rsid w:val="00923238"/>
    <w:rsid w:val="00926BC8"/>
    <w:rsid w:val="00926EEA"/>
    <w:rsid w:val="009275C6"/>
    <w:rsid w:val="0093762B"/>
    <w:rsid w:val="00966440"/>
    <w:rsid w:val="009843F2"/>
    <w:rsid w:val="0099188D"/>
    <w:rsid w:val="00997014"/>
    <w:rsid w:val="009A059A"/>
    <w:rsid w:val="009B232A"/>
    <w:rsid w:val="009B6F3E"/>
    <w:rsid w:val="009C307B"/>
    <w:rsid w:val="009C73D6"/>
    <w:rsid w:val="009E3230"/>
    <w:rsid w:val="009F08A9"/>
    <w:rsid w:val="00A366B1"/>
    <w:rsid w:val="00A37845"/>
    <w:rsid w:val="00A55AD3"/>
    <w:rsid w:val="00A60793"/>
    <w:rsid w:val="00A719EE"/>
    <w:rsid w:val="00A900F1"/>
    <w:rsid w:val="00A93E8C"/>
    <w:rsid w:val="00A97AB8"/>
    <w:rsid w:val="00AA4A26"/>
    <w:rsid w:val="00AA64EC"/>
    <w:rsid w:val="00AB08CD"/>
    <w:rsid w:val="00AB1284"/>
    <w:rsid w:val="00AC464F"/>
    <w:rsid w:val="00B1007E"/>
    <w:rsid w:val="00B16CCA"/>
    <w:rsid w:val="00B254BB"/>
    <w:rsid w:val="00B26162"/>
    <w:rsid w:val="00B314B3"/>
    <w:rsid w:val="00B44821"/>
    <w:rsid w:val="00B8017F"/>
    <w:rsid w:val="00B9236C"/>
    <w:rsid w:val="00B937D9"/>
    <w:rsid w:val="00BA45AF"/>
    <w:rsid w:val="00BC7CA0"/>
    <w:rsid w:val="00BD25D5"/>
    <w:rsid w:val="00BE3479"/>
    <w:rsid w:val="00BE526D"/>
    <w:rsid w:val="00BF489B"/>
    <w:rsid w:val="00C043D4"/>
    <w:rsid w:val="00C20533"/>
    <w:rsid w:val="00C3155D"/>
    <w:rsid w:val="00C508B7"/>
    <w:rsid w:val="00C5426B"/>
    <w:rsid w:val="00C903CA"/>
    <w:rsid w:val="00C941D0"/>
    <w:rsid w:val="00CA422B"/>
    <w:rsid w:val="00CB7013"/>
    <w:rsid w:val="00CC4005"/>
    <w:rsid w:val="00CD7334"/>
    <w:rsid w:val="00CE5404"/>
    <w:rsid w:val="00D04833"/>
    <w:rsid w:val="00D22F0B"/>
    <w:rsid w:val="00D25843"/>
    <w:rsid w:val="00D401E9"/>
    <w:rsid w:val="00D455A1"/>
    <w:rsid w:val="00D5590D"/>
    <w:rsid w:val="00D64447"/>
    <w:rsid w:val="00D67634"/>
    <w:rsid w:val="00D67730"/>
    <w:rsid w:val="00D71303"/>
    <w:rsid w:val="00D745D4"/>
    <w:rsid w:val="00D76BF1"/>
    <w:rsid w:val="00DC0D01"/>
    <w:rsid w:val="00DD43A9"/>
    <w:rsid w:val="00E0075F"/>
    <w:rsid w:val="00E01309"/>
    <w:rsid w:val="00E316C1"/>
    <w:rsid w:val="00E34991"/>
    <w:rsid w:val="00E41BF1"/>
    <w:rsid w:val="00E52ADA"/>
    <w:rsid w:val="00E552F8"/>
    <w:rsid w:val="00EA12EA"/>
    <w:rsid w:val="00EB308F"/>
    <w:rsid w:val="00EC6D0C"/>
    <w:rsid w:val="00EC785C"/>
    <w:rsid w:val="00EE6778"/>
    <w:rsid w:val="00EF18E6"/>
    <w:rsid w:val="00EF638D"/>
    <w:rsid w:val="00F00CAF"/>
    <w:rsid w:val="00F06FC1"/>
    <w:rsid w:val="00F30020"/>
    <w:rsid w:val="00F350F2"/>
    <w:rsid w:val="00F44CFD"/>
    <w:rsid w:val="00FA4605"/>
    <w:rsid w:val="00FB6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E5"/>
    <w:pPr>
      <w:ind w:left="720"/>
      <w:contextualSpacing/>
    </w:pPr>
  </w:style>
  <w:style w:type="paragraph" w:styleId="FootnoteText">
    <w:name w:val="footnote text"/>
    <w:basedOn w:val="Normal"/>
    <w:link w:val="FootnoteTextChar"/>
    <w:uiPriority w:val="99"/>
    <w:semiHidden/>
    <w:unhideWhenUsed/>
    <w:rsid w:val="002B2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508"/>
    <w:rPr>
      <w:rFonts w:eastAsiaTheme="minorEastAsia"/>
      <w:sz w:val="20"/>
      <w:szCs w:val="20"/>
    </w:rPr>
  </w:style>
  <w:style w:type="character" w:styleId="FootnoteReference">
    <w:name w:val="footnote reference"/>
    <w:basedOn w:val="DefaultParagraphFont"/>
    <w:uiPriority w:val="99"/>
    <w:semiHidden/>
    <w:unhideWhenUsed/>
    <w:rsid w:val="002B2508"/>
    <w:rPr>
      <w:vertAlign w:val="superscript"/>
    </w:rPr>
  </w:style>
  <w:style w:type="paragraph" w:customStyle="1" w:styleId="Default">
    <w:name w:val="Default"/>
    <w:rsid w:val="0016097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62214"/>
    <w:rPr>
      <w:sz w:val="16"/>
      <w:szCs w:val="16"/>
    </w:rPr>
  </w:style>
  <w:style w:type="paragraph" w:styleId="CommentText">
    <w:name w:val="annotation text"/>
    <w:basedOn w:val="Normal"/>
    <w:link w:val="CommentTextChar"/>
    <w:uiPriority w:val="99"/>
    <w:semiHidden/>
    <w:unhideWhenUsed/>
    <w:rsid w:val="00262214"/>
    <w:pPr>
      <w:spacing w:line="240" w:lineRule="auto"/>
    </w:pPr>
    <w:rPr>
      <w:sz w:val="20"/>
      <w:szCs w:val="20"/>
    </w:rPr>
  </w:style>
  <w:style w:type="character" w:customStyle="1" w:styleId="CommentTextChar">
    <w:name w:val="Comment Text Char"/>
    <w:basedOn w:val="DefaultParagraphFont"/>
    <w:link w:val="CommentText"/>
    <w:uiPriority w:val="99"/>
    <w:semiHidden/>
    <w:rsid w:val="0026221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2214"/>
    <w:rPr>
      <w:b/>
      <w:bCs/>
    </w:rPr>
  </w:style>
  <w:style w:type="character" w:customStyle="1" w:styleId="CommentSubjectChar">
    <w:name w:val="Comment Subject Char"/>
    <w:basedOn w:val="CommentTextChar"/>
    <w:link w:val="CommentSubject"/>
    <w:uiPriority w:val="99"/>
    <w:semiHidden/>
    <w:rsid w:val="00262214"/>
    <w:rPr>
      <w:rFonts w:eastAsiaTheme="minorEastAsia"/>
      <w:b/>
      <w:bCs/>
      <w:sz w:val="20"/>
      <w:szCs w:val="20"/>
    </w:rPr>
  </w:style>
  <w:style w:type="paragraph" w:styleId="BalloonText">
    <w:name w:val="Balloon Text"/>
    <w:basedOn w:val="Normal"/>
    <w:link w:val="BalloonTextChar"/>
    <w:uiPriority w:val="99"/>
    <w:semiHidden/>
    <w:unhideWhenUsed/>
    <w:rsid w:val="00262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14"/>
    <w:rPr>
      <w:rFonts w:ascii="Tahoma" w:eastAsiaTheme="minorEastAsia" w:hAnsi="Tahoma" w:cs="Tahoma"/>
      <w:sz w:val="16"/>
      <w:szCs w:val="16"/>
    </w:rPr>
  </w:style>
  <w:style w:type="character" w:customStyle="1" w:styleId="enumbell">
    <w:name w:val="enumbell"/>
    <w:basedOn w:val="DefaultParagraphFont"/>
    <w:rsid w:val="00591EA5"/>
  </w:style>
  <w:style w:type="character" w:customStyle="1" w:styleId="ptext-">
    <w:name w:val="ptext-"/>
    <w:basedOn w:val="DefaultParagraphFont"/>
    <w:rsid w:val="00591EA5"/>
  </w:style>
  <w:style w:type="paragraph" w:styleId="Header">
    <w:name w:val="header"/>
    <w:basedOn w:val="Normal"/>
    <w:link w:val="HeaderChar"/>
    <w:uiPriority w:val="99"/>
    <w:semiHidden/>
    <w:unhideWhenUsed/>
    <w:rsid w:val="00837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4E3"/>
  </w:style>
  <w:style w:type="paragraph" w:styleId="Footer">
    <w:name w:val="footer"/>
    <w:basedOn w:val="Normal"/>
    <w:link w:val="FooterChar"/>
    <w:uiPriority w:val="99"/>
    <w:unhideWhenUsed/>
    <w:rsid w:val="00837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E3"/>
  </w:style>
  <w:style w:type="paragraph" w:styleId="EndnoteText">
    <w:name w:val="endnote text"/>
    <w:basedOn w:val="Normal"/>
    <w:link w:val="EndnoteTextChar"/>
    <w:uiPriority w:val="99"/>
    <w:semiHidden/>
    <w:unhideWhenUsed/>
    <w:rsid w:val="00000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0EFA"/>
    <w:rPr>
      <w:sz w:val="20"/>
      <w:szCs w:val="20"/>
    </w:rPr>
  </w:style>
  <w:style w:type="character" w:styleId="EndnoteReference">
    <w:name w:val="endnote reference"/>
    <w:basedOn w:val="DefaultParagraphFont"/>
    <w:uiPriority w:val="99"/>
    <w:semiHidden/>
    <w:unhideWhenUsed/>
    <w:rsid w:val="00000E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E5"/>
    <w:pPr>
      <w:ind w:left="720"/>
      <w:contextualSpacing/>
    </w:pPr>
  </w:style>
  <w:style w:type="paragraph" w:styleId="FootnoteText">
    <w:name w:val="footnote text"/>
    <w:basedOn w:val="Normal"/>
    <w:link w:val="FootnoteTextChar"/>
    <w:uiPriority w:val="99"/>
    <w:semiHidden/>
    <w:unhideWhenUsed/>
    <w:rsid w:val="002B2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508"/>
    <w:rPr>
      <w:rFonts w:eastAsiaTheme="minorEastAsia"/>
      <w:sz w:val="20"/>
      <w:szCs w:val="20"/>
    </w:rPr>
  </w:style>
  <w:style w:type="character" w:styleId="FootnoteReference">
    <w:name w:val="footnote reference"/>
    <w:basedOn w:val="DefaultParagraphFont"/>
    <w:uiPriority w:val="99"/>
    <w:semiHidden/>
    <w:unhideWhenUsed/>
    <w:rsid w:val="002B2508"/>
    <w:rPr>
      <w:vertAlign w:val="superscript"/>
    </w:rPr>
  </w:style>
  <w:style w:type="paragraph" w:customStyle="1" w:styleId="Default">
    <w:name w:val="Default"/>
    <w:rsid w:val="0016097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62214"/>
    <w:rPr>
      <w:sz w:val="16"/>
      <w:szCs w:val="16"/>
    </w:rPr>
  </w:style>
  <w:style w:type="paragraph" w:styleId="CommentText">
    <w:name w:val="annotation text"/>
    <w:basedOn w:val="Normal"/>
    <w:link w:val="CommentTextChar"/>
    <w:uiPriority w:val="99"/>
    <w:semiHidden/>
    <w:unhideWhenUsed/>
    <w:rsid w:val="00262214"/>
    <w:pPr>
      <w:spacing w:line="240" w:lineRule="auto"/>
    </w:pPr>
    <w:rPr>
      <w:sz w:val="20"/>
      <w:szCs w:val="20"/>
    </w:rPr>
  </w:style>
  <w:style w:type="character" w:customStyle="1" w:styleId="CommentTextChar">
    <w:name w:val="Comment Text Char"/>
    <w:basedOn w:val="DefaultParagraphFont"/>
    <w:link w:val="CommentText"/>
    <w:uiPriority w:val="99"/>
    <w:semiHidden/>
    <w:rsid w:val="0026221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2214"/>
    <w:rPr>
      <w:b/>
      <w:bCs/>
    </w:rPr>
  </w:style>
  <w:style w:type="character" w:customStyle="1" w:styleId="CommentSubjectChar">
    <w:name w:val="Comment Subject Char"/>
    <w:basedOn w:val="CommentTextChar"/>
    <w:link w:val="CommentSubject"/>
    <w:uiPriority w:val="99"/>
    <w:semiHidden/>
    <w:rsid w:val="00262214"/>
    <w:rPr>
      <w:rFonts w:eastAsiaTheme="minorEastAsia"/>
      <w:b/>
      <w:bCs/>
      <w:sz w:val="20"/>
      <w:szCs w:val="20"/>
    </w:rPr>
  </w:style>
  <w:style w:type="paragraph" w:styleId="BalloonText">
    <w:name w:val="Balloon Text"/>
    <w:basedOn w:val="Normal"/>
    <w:link w:val="BalloonTextChar"/>
    <w:uiPriority w:val="99"/>
    <w:semiHidden/>
    <w:unhideWhenUsed/>
    <w:rsid w:val="00262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14"/>
    <w:rPr>
      <w:rFonts w:ascii="Tahoma" w:eastAsiaTheme="minorEastAsia" w:hAnsi="Tahoma" w:cs="Tahoma"/>
      <w:sz w:val="16"/>
      <w:szCs w:val="16"/>
    </w:rPr>
  </w:style>
  <w:style w:type="character" w:customStyle="1" w:styleId="enumbell">
    <w:name w:val="enumbell"/>
    <w:basedOn w:val="DefaultParagraphFont"/>
    <w:rsid w:val="00591EA5"/>
  </w:style>
  <w:style w:type="character" w:customStyle="1" w:styleId="ptext-">
    <w:name w:val="ptext-"/>
    <w:basedOn w:val="DefaultParagraphFont"/>
    <w:rsid w:val="00591EA5"/>
  </w:style>
  <w:style w:type="paragraph" w:styleId="Header">
    <w:name w:val="header"/>
    <w:basedOn w:val="Normal"/>
    <w:link w:val="HeaderChar"/>
    <w:uiPriority w:val="99"/>
    <w:semiHidden/>
    <w:unhideWhenUsed/>
    <w:rsid w:val="00837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4E3"/>
  </w:style>
  <w:style w:type="paragraph" w:styleId="Footer">
    <w:name w:val="footer"/>
    <w:basedOn w:val="Normal"/>
    <w:link w:val="FooterChar"/>
    <w:uiPriority w:val="99"/>
    <w:unhideWhenUsed/>
    <w:rsid w:val="00837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E3"/>
  </w:style>
  <w:style w:type="paragraph" w:styleId="EndnoteText">
    <w:name w:val="endnote text"/>
    <w:basedOn w:val="Normal"/>
    <w:link w:val="EndnoteTextChar"/>
    <w:uiPriority w:val="99"/>
    <w:semiHidden/>
    <w:unhideWhenUsed/>
    <w:rsid w:val="00000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0EFA"/>
    <w:rPr>
      <w:sz w:val="20"/>
      <w:szCs w:val="20"/>
    </w:rPr>
  </w:style>
  <w:style w:type="character" w:styleId="EndnoteReference">
    <w:name w:val="endnote reference"/>
    <w:basedOn w:val="DefaultParagraphFont"/>
    <w:uiPriority w:val="99"/>
    <w:semiHidden/>
    <w:unhideWhenUsed/>
    <w:rsid w:val="00000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03D5-DCF6-44DE-A9BC-376AF673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the Solicitor - U.S. DOI</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Will</dc:creator>
  <cp:lastModifiedBy>Pete, Darren</cp:lastModifiedBy>
  <cp:revision>2</cp:revision>
  <cp:lastPrinted>2013-11-19T20:21:00Z</cp:lastPrinted>
  <dcterms:created xsi:type="dcterms:W3CDTF">2013-11-19T20:45:00Z</dcterms:created>
  <dcterms:modified xsi:type="dcterms:W3CDTF">2013-11-19T20:45:00Z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1908501098</vt:i4>
  </property>
  <property fmtid="{D5CDD505-2E9C-101B-9397-08002B2CF9AE}" pid="3" name="_NewReviewCycle">
    <vt:lpwstr/>
  </property>
</Properties>
</file>