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F7" w:rsidRDefault="00561BF7" w:rsidP="0033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561BF7">
        <w:rPr>
          <w:b/>
          <w:bCs/>
          <w:noProof/>
          <w:color w:val="000000"/>
        </w:rPr>
        <w:drawing>
          <wp:inline distT="0" distB="0" distL="0" distR="0">
            <wp:extent cx="5486400" cy="1003300"/>
            <wp:effectExtent l="25400" t="0" r="0" b="0"/>
            <wp:docPr id="1" name="Picture 1" descr="NIG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A_Header"/>
                    <pic:cNvPicPr>
                      <a:picLocks noChangeAspect="1" noChangeArrowheads="1"/>
                    </pic:cNvPicPr>
                  </pic:nvPicPr>
                  <pic:blipFill>
                    <a:blip r:embed="rId8"/>
                    <a:srcRect/>
                    <a:stretch>
                      <a:fillRect/>
                    </a:stretch>
                  </pic:blipFill>
                  <pic:spPr bwMode="auto">
                    <a:xfrm>
                      <a:off x="0" y="0"/>
                      <a:ext cx="5486400" cy="1003300"/>
                    </a:xfrm>
                    <a:prstGeom prst="rect">
                      <a:avLst/>
                    </a:prstGeom>
                    <a:noFill/>
                    <a:ln w="9525">
                      <a:noFill/>
                      <a:miter lim="800000"/>
                      <a:headEnd/>
                      <a:tailEnd/>
                    </a:ln>
                  </pic:spPr>
                </pic:pic>
              </a:graphicData>
            </a:graphic>
          </wp:inline>
        </w:drawing>
      </w:r>
    </w:p>
    <w:p w:rsidR="00561BF7" w:rsidRDefault="00561BF7" w:rsidP="006B5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6B5D8A" w:rsidRDefault="00602BD3" w:rsidP="006B5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61176">
        <w:rPr>
          <w:b/>
          <w:bCs/>
          <w:color w:val="000000"/>
        </w:rPr>
        <w:t xml:space="preserve">TESTIMONY OF ERNEST STEVENS, JR., CHAIRMAN, </w:t>
      </w:r>
    </w:p>
    <w:p w:rsidR="006B5D8A" w:rsidRDefault="00602BD3" w:rsidP="006B5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61176">
        <w:rPr>
          <w:b/>
          <w:bCs/>
          <w:color w:val="000000"/>
        </w:rPr>
        <w:t xml:space="preserve">NATIONAL INDIAN GAMING ASSOCIATION BEFORE </w:t>
      </w:r>
    </w:p>
    <w:p w:rsidR="00602BD3" w:rsidRPr="00461176" w:rsidRDefault="00602BD3" w:rsidP="006B5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61176">
        <w:rPr>
          <w:b/>
          <w:bCs/>
          <w:color w:val="000000"/>
        </w:rPr>
        <w:t>THE SENATE COMMITTEE ON INDIAN AFFAIRS</w:t>
      </w:r>
    </w:p>
    <w:p w:rsidR="00602BD3" w:rsidRPr="00461176" w:rsidRDefault="00602BD3" w:rsidP="00C55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602BD3" w:rsidRPr="00461176" w:rsidRDefault="00E13EDB" w:rsidP="006B5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JULY 23, 2014</w:t>
      </w:r>
    </w:p>
    <w:p w:rsidR="004477C1" w:rsidRPr="00461176" w:rsidRDefault="004477C1" w:rsidP="0044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4477C1" w:rsidRPr="00461176" w:rsidRDefault="004477C1"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461176">
        <w:rPr>
          <w:b/>
          <w:bCs/>
          <w:color w:val="000000"/>
        </w:rPr>
        <w:t>INTRODUCTION</w:t>
      </w:r>
    </w:p>
    <w:p w:rsidR="004477C1" w:rsidRPr="00461176" w:rsidRDefault="004477C1"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81154F" w:rsidRPr="000F65CE" w:rsidRDefault="004477C1"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0F65CE">
        <w:rPr>
          <w:color w:val="000000"/>
        </w:rPr>
        <w:t xml:space="preserve">Good </w:t>
      </w:r>
      <w:r w:rsidR="00BB7CB8" w:rsidRPr="000F65CE">
        <w:rPr>
          <w:color w:val="000000"/>
        </w:rPr>
        <w:t>afternoon</w:t>
      </w:r>
      <w:r w:rsidRPr="000F65CE">
        <w:rPr>
          <w:color w:val="000000"/>
        </w:rPr>
        <w:t xml:space="preserve"> Chairman </w:t>
      </w:r>
      <w:r w:rsidR="00E13EDB" w:rsidRPr="000F65CE">
        <w:rPr>
          <w:color w:val="000000"/>
        </w:rPr>
        <w:t>Tester</w:t>
      </w:r>
      <w:r w:rsidRPr="000F65CE">
        <w:rPr>
          <w:color w:val="000000"/>
        </w:rPr>
        <w:t xml:space="preserve">, Vice Chairman Barrasso, and Members of the Committee. My name </w:t>
      </w:r>
      <w:r w:rsidR="00602BD3" w:rsidRPr="000F65CE">
        <w:rPr>
          <w:color w:val="000000"/>
        </w:rPr>
        <w:t>is</w:t>
      </w:r>
      <w:r w:rsidR="007E1ECE">
        <w:rPr>
          <w:color w:val="000000"/>
        </w:rPr>
        <w:t xml:space="preserve"> Ernest Stevens, Jr.  I am a member of the Oneida Nation of Wisconsin and </w:t>
      </w:r>
      <w:r w:rsidRPr="000F65CE">
        <w:rPr>
          <w:color w:val="000000"/>
        </w:rPr>
        <w:t>Chairman of the National Indian Gaming Association</w:t>
      </w:r>
      <w:r w:rsidR="00097EA2" w:rsidRPr="000F65CE">
        <w:rPr>
          <w:color w:val="000000"/>
        </w:rPr>
        <w:t xml:space="preserve"> (NIGA</w:t>
      </w:r>
      <w:r w:rsidR="007E1ECE">
        <w:rPr>
          <w:color w:val="000000"/>
        </w:rPr>
        <w:t>)</w:t>
      </w:r>
      <w:r w:rsidRPr="000F65CE">
        <w:rPr>
          <w:color w:val="000000"/>
        </w:rPr>
        <w:t xml:space="preserve">. </w:t>
      </w:r>
      <w:r w:rsidR="00097EA2" w:rsidRPr="000F65CE">
        <w:rPr>
          <w:color w:val="000000"/>
        </w:rPr>
        <w:t>NIGA</w:t>
      </w:r>
      <w:r w:rsidRPr="000F65CE">
        <w:rPr>
          <w:color w:val="000000"/>
        </w:rPr>
        <w:t xml:space="preserve"> is an intertribal association of 1</w:t>
      </w:r>
      <w:r w:rsidR="00561BF7" w:rsidRPr="000F65CE">
        <w:rPr>
          <w:color w:val="000000"/>
        </w:rPr>
        <w:t>84 federally recognized Indian t</w:t>
      </w:r>
      <w:r w:rsidRPr="000F65CE">
        <w:rPr>
          <w:color w:val="000000"/>
        </w:rPr>
        <w:t xml:space="preserve">ribes united </w:t>
      </w:r>
      <w:r w:rsidR="001537B1" w:rsidRPr="000F65CE">
        <w:rPr>
          <w:color w:val="000000"/>
        </w:rPr>
        <w:t>behind</w:t>
      </w:r>
      <w:r w:rsidRPr="000F65CE">
        <w:rPr>
          <w:color w:val="000000"/>
        </w:rPr>
        <w:t xml:space="preserve"> the mission of protecting tribal sovereignty and </w:t>
      </w:r>
      <w:r w:rsidR="00561BF7" w:rsidRPr="000F65CE">
        <w:rPr>
          <w:color w:val="000000"/>
        </w:rPr>
        <w:t>preserving the ability of t</w:t>
      </w:r>
      <w:r w:rsidRPr="000F65CE">
        <w:rPr>
          <w:color w:val="000000"/>
        </w:rPr>
        <w:t xml:space="preserve">ribes to attain economic self-sufficiency through gaming and other endeavors. </w:t>
      </w:r>
      <w:r w:rsidR="00602BD3" w:rsidRPr="000F65CE">
        <w:rPr>
          <w:color w:val="000000"/>
        </w:rPr>
        <w:t xml:space="preserve"> I want to thank the Committee for this opportunity to </w:t>
      </w:r>
      <w:r w:rsidR="007C7316" w:rsidRPr="000F65CE">
        <w:rPr>
          <w:color w:val="000000"/>
        </w:rPr>
        <w:t>provide testimony on “</w:t>
      </w:r>
      <w:r w:rsidR="00A42E40" w:rsidRPr="000F65CE">
        <w:rPr>
          <w:color w:val="000000"/>
        </w:rPr>
        <w:t>Indian Gaming: the Next 25 Years.”</w:t>
      </w:r>
    </w:p>
    <w:p w:rsidR="00A42E40" w:rsidRPr="000F65CE" w:rsidRDefault="00A42E40"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81154F" w:rsidRPr="000F65CE" w:rsidRDefault="000F65CE" w:rsidP="00FD6F10">
      <w:pPr>
        <w:jc w:val="both"/>
        <w:rPr>
          <w:szCs w:val="20"/>
        </w:rPr>
      </w:pPr>
      <w:r w:rsidRPr="000F65CE">
        <w:rPr>
          <w:szCs w:val="20"/>
        </w:rPr>
        <w:t>Over the course of the five-</w:t>
      </w:r>
      <w:r>
        <w:rPr>
          <w:szCs w:val="20"/>
        </w:rPr>
        <w:t>year Great Recession, Indian g</w:t>
      </w:r>
      <w:r w:rsidR="0090793F">
        <w:rPr>
          <w:szCs w:val="20"/>
        </w:rPr>
        <w:t>aming not only survive</w:t>
      </w:r>
      <w:r w:rsidR="00E74EB7">
        <w:rPr>
          <w:szCs w:val="20"/>
        </w:rPr>
        <w:t>d</w:t>
      </w:r>
      <w:r w:rsidRPr="000F65CE">
        <w:rPr>
          <w:szCs w:val="20"/>
        </w:rPr>
        <w:t xml:space="preserve"> but thrived in </w:t>
      </w:r>
      <w:r w:rsidR="0090793F">
        <w:rPr>
          <w:szCs w:val="20"/>
        </w:rPr>
        <w:t>many</w:t>
      </w:r>
      <w:r w:rsidRPr="000F65CE">
        <w:rPr>
          <w:szCs w:val="20"/>
        </w:rPr>
        <w:t xml:space="preserve"> regions. </w:t>
      </w:r>
      <w:r w:rsidR="00710029">
        <w:rPr>
          <w:szCs w:val="20"/>
        </w:rPr>
        <w:t>During the Recession, Indian gaming</w:t>
      </w:r>
      <w:r w:rsidR="00710029" w:rsidRPr="000F65CE">
        <w:rPr>
          <w:szCs w:val="20"/>
        </w:rPr>
        <w:t xml:space="preserve"> </w:t>
      </w:r>
      <w:r w:rsidR="00710029">
        <w:rPr>
          <w:szCs w:val="20"/>
        </w:rPr>
        <w:t>revenues</w:t>
      </w:r>
      <w:r w:rsidR="00710029" w:rsidRPr="000F65CE">
        <w:rPr>
          <w:szCs w:val="20"/>
        </w:rPr>
        <w:t xml:space="preserve"> helped many nearby communit</w:t>
      </w:r>
      <w:r w:rsidR="00566E5D">
        <w:rPr>
          <w:szCs w:val="20"/>
        </w:rPr>
        <w:t>ies get through the tough times, saving American jobs by providing funds</w:t>
      </w:r>
      <w:r w:rsidR="00710029">
        <w:rPr>
          <w:szCs w:val="20"/>
        </w:rPr>
        <w:t xml:space="preserve"> for police officer</w:t>
      </w:r>
      <w:r w:rsidR="00F90488">
        <w:rPr>
          <w:szCs w:val="20"/>
        </w:rPr>
        <w:t>s</w:t>
      </w:r>
      <w:r w:rsidR="00710029">
        <w:rPr>
          <w:szCs w:val="20"/>
        </w:rPr>
        <w:t>, teachers, prosecutors, and much more</w:t>
      </w:r>
      <w:r w:rsidR="00710029" w:rsidRPr="000F65CE">
        <w:rPr>
          <w:szCs w:val="20"/>
        </w:rPr>
        <w:t xml:space="preserve">. </w:t>
      </w:r>
      <w:r>
        <w:rPr>
          <w:szCs w:val="20"/>
        </w:rPr>
        <w:t>Indian g</w:t>
      </w:r>
      <w:r w:rsidR="0081154F" w:rsidRPr="000F65CE">
        <w:rPr>
          <w:szCs w:val="20"/>
        </w:rPr>
        <w:t>aming has played and</w:t>
      </w:r>
      <w:r w:rsidR="00710029">
        <w:rPr>
          <w:szCs w:val="20"/>
        </w:rPr>
        <w:t xml:space="preserve"> is playing a large role in </w:t>
      </w:r>
      <w:r w:rsidR="00F90488">
        <w:rPr>
          <w:szCs w:val="20"/>
        </w:rPr>
        <w:t>America’s economic</w:t>
      </w:r>
      <w:r w:rsidR="00710029">
        <w:rPr>
          <w:szCs w:val="20"/>
        </w:rPr>
        <w:t xml:space="preserve"> upturn</w:t>
      </w:r>
      <w:r w:rsidR="0081154F" w:rsidRPr="000F65CE">
        <w:rPr>
          <w:szCs w:val="20"/>
        </w:rPr>
        <w:t xml:space="preserve">. </w:t>
      </w:r>
      <w:r>
        <w:t>Today, t</w:t>
      </w:r>
      <w:r w:rsidR="0081154F" w:rsidRPr="000F65CE">
        <w:t>ribal governmenta</w:t>
      </w:r>
      <w:r w:rsidR="00710029">
        <w:t>l gaming is producing more jobs and</w:t>
      </w:r>
      <w:r w:rsidR="0081154F" w:rsidRPr="000F65CE">
        <w:t xml:space="preserve"> generati</w:t>
      </w:r>
      <w:r>
        <w:t>ng more income</w:t>
      </w:r>
      <w:r w:rsidR="00710029">
        <w:t xml:space="preserve"> than ever before, and we are helping fuel America’s recovery.  </w:t>
      </w:r>
    </w:p>
    <w:p w:rsidR="00033DA7" w:rsidRDefault="00033DA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033DA7" w:rsidRDefault="00033DA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Gaming has been a part of Native American culture from the beginning of time.  Whether it is hand an</w:t>
      </w:r>
      <w:r w:rsidR="00566E5D">
        <w:rPr>
          <w:color w:val="000000"/>
        </w:rPr>
        <w:t>d stick games, bowl and dice games</w:t>
      </w:r>
      <w:r>
        <w:rPr>
          <w:color w:val="000000"/>
        </w:rPr>
        <w:t xml:space="preserve">, horse and relay races, and </w:t>
      </w:r>
      <w:r w:rsidR="00566E5D">
        <w:rPr>
          <w:color w:val="000000"/>
        </w:rPr>
        <w:t xml:space="preserve">much more—gaming has always been a part of our culture, ceremonies, and way of life.  In contemporary times, Indian gaming </w:t>
      </w:r>
      <w:r w:rsidR="007E1ECE">
        <w:rPr>
          <w:color w:val="000000"/>
        </w:rPr>
        <w:t>added</w:t>
      </w:r>
      <w:r w:rsidR="00566E5D">
        <w:rPr>
          <w:color w:val="000000"/>
        </w:rPr>
        <w:t xml:space="preserve"> tribal bingo and pull-tabs </w:t>
      </w:r>
      <w:r w:rsidR="007E1ECE">
        <w:rPr>
          <w:color w:val="000000"/>
        </w:rPr>
        <w:t xml:space="preserve">operations that began </w:t>
      </w:r>
      <w:r w:rsidR="00566E5D">
        <w:rPr>
          <w:color w:val="000000"/>
        </w:rPr>
        <w:t xml:space="preserve">in the 1960s and 1970s.  These acts of Indian self-determination were met with legal challenges that eventually led to Congress’ enactment of the Indian Gaming Regulatory Act (IGRA) in 1988.  </w:t>
      </w:r>
    </w:p>
    <w:p w:rsidR="00033DA7" w:rsidRDefault="00033DA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566E5D" w:rsidRDefault="00566E5D"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As I will detail below, the Act is far from perfect. However, </w:t>
      </w:r>
      <w:r w:rsidR="00BE1746">
        <w:rPr>
          <w:color w:val="000000"/>
        </w:rPr>
        <w:t>over 200 tribal governments have made IGRA work for our communities.  T</w:t>
      </w:r>
      <w:r w:rsidR="0081154F" w:rsidRPr="000F65CE">
        <w:rPr>
          <w:color w:val="000000"/>
        </w:rPr>
        <w:t>he</w:t>
      </w:r>
      <w:r w:rsidR="00A42E40" w:rsidRPr="000F65CE">
        <w:rPr>
          <w:color w:val="000000"/>
        </w:rPr>
        <w:t xml:space="preserve"> first twenty-five years </w:t>
      </w:r>
      <w:r>
        <w:rPr>
          <w:color w:val="000000"/>
        </w:rPr>
        <w:t xml:space="preserve">of Indian gaming </w:t>
      </w:r>
      <w:r w:rsidR="00A42E40" w:rsidRPr="000F65CE">
        <w:rPr>
          <w:color w:val="000000"/>
        </w:rPr>
        <w:t xml:space="preserve">under </w:t>
      </w:r>
      <w:r>
        <w:rPr>
          <w:color w:val="000000"/>
        </w:rPr>
        <w:t>IGRA</w:t>
      </w:r>
      <w:r w:rsidR="00033DA7">
        <w:rPr>
          <w:color w:val="000000"/>
        </w:rPr>
        <w:t xml:space="preserve"> have</w:t>
      </w:r>
      <w:r w:rsidR="007E1ECE">
        <w:rPr>
          <w:color w:val="000000"/>
        </w:rPr>
        <w:t xml:space="preserve"> seen our Nations</w:t>
      </w:r>
      <w:r>
        <w:rPr>
          <w:color w:val="000000"/>
        </w:rPr>
        <w:t xml:space="preserve"> </w:t>
      </w:r>
      <w:r w:rsidR="007E1ECE">
        <w:rPr>
          <w:color w:val="000000"/>
        </w:rPr>
        <w:t>generate</w:t>
      </w:r>
      <w:r>
        <w:rPr>
          <w:color w:val="000000"/>
        </w:rPr>
        <w:t xml:space="preserve"> </w:t>
      </w:r>
      <w:r w:rsidR="00BE1746">
        <w:rPr>
          <w:color w:val="000000"/>
        </w:rPr>
        <w:t xml:space="preserve">billions in tribal governmental </w:t>
      </w:r>
      <w:r>
        <w:rPr>
          <w:color w:val="000000"/>
        </w:rPr>
        <w:t xml:space="preserve">revenue to rebuild our communities, </w:t>
      </w:r>
      <w:r w:rsidR="007E1ECE">
        <w:rPr>
          <w:color w:val="000000"/>
        </w:rPr>
        <w:t>provide</w:t>
      </w:r>
      <w:r w:rsidR="00BE1746">
        <w:rPr>
          <w:color w:val="000000"/>
        </w:rPr>
        <w:t xml:space="preserve"> </w:t>
      </w:r>
      <w:r>
        <w:rPr>
          <w:color w:val="000000"/>
        </w:rPr>
        <w:t xml:space="preserve">reservation-based jobs to many who never worked before, and </w:t>
      </w:r>
      <w:r w:rsidR="007E1ECE">
        <w:rPr>
          <w:color w:val="000000"/>
        </w:rPr>
        <w:t>offer</w:t>
      </w:r>
      <w:r w:rsidR="00BE1746">
        <w:rPr>
          <w:color w:val="000000"/>
        </w:rPr>
        <w:t xml:space="preserve"> </w:t>
      </w:r>
      <w:r>
        <w:rPr>
          <w:color w:val="000000"/>
        </w:rPr>
        <w:t>hope for an entire generation</w:t>
      </w:r>
      <w:r w:rsidR="00A42E40" w:rsidRPr="000F65CE">
        <w:rPr>
          <w:color w:val="000000"/>
        </w:rPr>
        <w:t>.</w:t>
      </w:r>
      <w:r>
        <w:rPr>
          <w:color w:val="000000"/>
        </w:rPr>
        <w:t xml:space="preserve"> </w:t>
      </w:r>
      <w:r w:rsidR="00A42E40" w:rsidRPr="000F65CE">
        <w:rPr>
          <w:color w:val="000000"/>
        </w:rPr>
        <w:t xml:space="preserve"> </w:t>
      </w:r>
      <w:r w:rsidR="0081154F" w:rsidRPr="000F65CE">
        <w:rPr>
          <w:color w:val="000000"/>
        </w:rPr>
        <w:t>I am confident th</w:t>
      </w:r>
      <w:r w:rsidR="00BE1746">
        <w:rPr>
          <w:color w:val="000000"/>
        </w:rPr>
        <w:t>at our industry is here to stay.  The</w:t>
      </w:r>
      <w:r w:rsidR="0081154F" w:rsidRPr="000F65CE">
        <w:rPr>
          <w:color w:val="000000"/>
        </w:rPr>
        <w:t xml:space="preserve"> next twenty-five years wi</w:t>
      </w:r>
      <w:r w:rsidR="00BE1746">
        <w:rPr>
          <w:color w:val="000000"/>
        </w:rPr>
        <w:t>ll see Indian gaming maintain</w:t>
      </w:r>
      <w:r w:rsidR="0081154F" w:rsidRPr="000F65CE">
        <w:rPr>
          <w:color w:val="000000"/>
        </w:rPr>
        <w:t xml:space="preserve"> steady growth tha</w:t>
      </w:r>
      <w:r>
        <w:rPr>
          <w:color w:val="000000"/>
        </w:rPr>
        <w:t>t will continue to strengthen Native governing bodies</w:t>
      </w:r>
      <w:r w:rsidR="0081154F" w:rsidRPr="000F65CE">
        <w:rPr>
          <w:color w:val="000000"/>
        </w:rPr>
        <w:t>, em</w:t>
      </w:r>
      <w:r>
        <w:rPr>
          <w:color w:val="000000"/>
        </w:rPr>
        <w:t xml:space="preserve">power tribal communities, </w:t>
      </w:r>
      <w:r w:rsidR="00BE1746">
        <w:rPr>
          <w:color w:val="000000"/>
        </w:rPr>
        <w:t xml:space="preserve">restore and strengthen Native culture and language, </w:t>
      </w:r>
      <w:r>
        <w:rPr>
          <w:color w:val="000000"/>
        </w:rPr>
        <w:t xml:space="preserve">and </w:t>
      </w:r>
      <w:r w:rsidR="00BE1746">
        <w:rPr>
          <w:color w:val="000000"/>
        </w:rPr>
        <w:t>reinforce</w:t>
      </w:r>
      <w:r>
        <w:rPr>
          <w:color w:val="000000"/>
        </w:rPr>
        <w:t xml:space="preserve"> and build new relationships with our neighbors.  </w:t>
      </w:r>
      <w:r w:rsidR="00F90488">
        <w:rPr>
          <w:color w:val="000000"/>
        </w:rPr>
        <w:t xml:space="preserve">We will continue to accomplish all of this while remaining dedicated to upholding the highest regulatory standards of any form of gaming in the United States.  </w:t>
      </w:r>
    </w:p>
    <w:p w:rsidR="004477C1" w:rsidRPr="00461176" w:rsidRDefault="00A42E40"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Pr>
          <w:b/>
          <w:bCs/>
          <w:color w:val="000000"/>
        </w:rPr>
        <w:lastRenderedPageBreak/>
        <w:t>NATIVE NATIONS: PRE-DATING THE U.S. CONSTITUTION</w:t>
      </w:r>
    </w:p>
    <w:p w:rsidR="0089036C" w:rsidRPr="00461176" w:rsidRDefault="0089036C"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4A46AE" w:rsidRDefault="004A46A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Any discussion of</w:t>
      </w:r>
      <w:r w:rsidR="00066877">
        <w:rPr>
          <w:color w:val="000000"/>
        </w:rPr>
        <w:t xml:space="preserve"> Indian gaming</w:t>
      </w:r>
      <w:r>
        <w:rPr>
          <w:color w:val="000000"/>
        </w:rPr>
        <w:t xml:space="preserve"> must begin with the historic background </w:t>
      </w:r>
      <w:r w:rsidR="000F65CE">
        <w:rPr>
          <w:color w:val="000000"/>
        </w:rPr>
        <w:t xml:space="preserve">of Native Nations that pre-dates the U.S. Constitution, </w:t>
      </w:r>
      <w:r w:rsidR="001066DE">
        <w:rPr>
          <w:color w:val="000000"/>
        </w:rPr>
        <w:t xml:space="preserve">evolves with the </w:t>
      </w:r>
      <w:r w:rsidR="00066877">
        <w:rPr>
          <w:color w:val="000000"/>
        </w:rPr>
        <w:t xml:space="preserve">formation </w:t>
      </w:r>
      <w:r w:rsidR="003C4374">
        <w:rPr>
          <w:color w:val="000000"/>
        </w:rPr>
        <w:t xml:space="preserve">of the </w:t>
      </w:r>
      <w:r w:rsidR="001066DE">
        <w:rPr>
          <w:color w:val="000000"/>
        </w:rPr>
        <w:t>United States</w:t>
      </w:r>
      <w:r w:rsidR="00066877">
        <w:rPr>
          <w:color w:val="000000"/>
        </w:rPr>
        <w:t>,</w:t>
      </w:r>
      <w:r w:rsidR="001066DE">
        <w:rPr>
          <w:color w:val="000000"/>
        </w:rPr>
        <w:t xml:space="preserve"> and exists as a </w:t>
      </w:r>
      <w:r w:rsidR="00066877">
        <w:rPr>
          <w:color w:val="000000"/>
        </w:rPr>
        <w:t>vital part of this Nation’s</w:t>
      </w:r>
      <w:r w:rsidR="00566E5D">
        <w:rPr>
          <w:color w:val="000000"/>
        </w:rPr>
        <w:t xml:space="preserve"> Constitution. </w:t>
      </w:r>
      <w:r w:rsidR="007E1ECE">
        <w:rPr>
          <w:color w:val="000000"/>
        </w:rPr>
        <w:t xml:space="preserve"> </w:t>
      </w:r>
    </w:p>
    <w:p w:rsidR="006E5D2B" w:rsidRPr="00461176" w:rsidRDefault="006E5D2B"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4A46AE" w:rsidRPr="00461176" w:rsidRDefault="004A46A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461176">
        <w:rPr>
          <w:color w:val="000000"/>
        </w:rPr>
        <w:t xml:space="preserve">Before contact with European Nations, Indian tribes were independent self-governing entities vested with full authority and control over their lands, citizens, and visitors to Indian lands. The Nations of England, France, and Spain all acknowledged </w:t>
      </w:r>
      <w:r>
        <w:rPr>
          <w:color w:val="000000"/>
        </w:rPr>
        <w:t>t</w:t>
      </w:r>
      <w:r w:rsidRPr="00461176">
        <w:rPr>
          <w:color w:val="000000"/>
        </w:rPr>
        <w:t xml:space="preserve">ribes as sovereigns and entered into treaties to establish commerce and trade agreements, form alliances, and preserve the peace.  </w:t>
      </w:r>
    </w:p>
    <w:p w:rsidR="006E5D2B" w:rsidRPr="00461176" w:rsidRDefault="006E5D2B"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4A46AE" w:rsidRPr="00BD24EA" w:rsidRDefault="00566E5D" w:rsidP="00FD6F10">
      <w:pPr>
        <w:jc w:val="both"/>
      </w:pPr>
      <w:r>
        <w:rPr>
          <w:color w:val="000000"/>
        </w:rPr>
        <w:t>Upon it</w:t>
      </w:r>
      <w:r w:rsidR="00066877">
        <w:rPr>
          <w:color w:val="000000"/>
        </w:rPr>
        <w:t>s</w:t>
      </w:r>
      <w:r>
        <w:rPr>
          <w:color w:val="000000"/>
        </w:rPr>
        <w:t xml:space="preserve"> formation, the</w:t>
      </w:r>
      <w:r w:rsidR="001066DE">
        <w:rPr>
          <w:color w:val="000000"/>
        </w:rPr>
        <w:t xml:space="preserve"> United States</w:t>
      </w:r>
      <w:r w:rsidR="00640087">
        <w:rPr>
          <w:color w:val="000000"/>
        </w:rPr>
        <w:t xml:space="preserve"> </w:t>
      </w:r>
      <w:r w:rsidR="004A46AE">
        <w:rPr>
          <w:color w:val="000000"/>
        </w:rPr>
        <w:t>also</w:t>
      </w:r>
      <w:r w:rsidR="00703187">
        <w:rPr>
          <w:color w:val="000000"/>
        </w:rPr>
        <w:t xml:space="preserve"> </w:t>
      </w:r>
      <w:r w:rsidR="00066877">
        <w:rPr>
          <w:color w:val="000000"/>
        </w:rPr>
        <w:t xml:space="preserve">acknowledged the sovereign authority of Indian tribes and </w:t>
      </w:r>
      <w:r w:rsidR="00703187">
        <w:rPr>
          <w:color w:val="000000"/>
        </w:rPr>
        <w:t>entered into</w:t>
      </w:r>
      <w:r w:rsidR="00527D99">
        <w:rPr>
          <w:color w:val="000000"/>
        </w:rPr>
        <w:t xml:space="preserve"> hundreds of</w:t>
      </w:r>
      <w:r w:rsidR="00703187" w:rsidRPr="00461176">
        <w:rPr>
          <w:color w:val="000000"/>
        </w:rPr>
        <w:t xml:space="preserve"> treaties.  </w:t>
      </w:r>
      <w:r w:rsidR="00383534">
        <w:t>T</w:t>
      </w:r>
      <w:r w:rsidR="00527D99">
        <w:t>hrough these t</w:t>
      </w:r>
      <w:r w:rsidR="00383534">
        <w:t>reaties</w:t>
      </w:r>
      <w:r w:rsidR="00527D99">
        <w:t xml:space="preserve">, </w:t>
      </w:r>
      <w:r w:rsidR="009F4279">
        <w:t xml:space="preserve">Indian </w:t>
      </w:r>
      <w:r w:rsidR="00527D99">
        <w:t>tribes ceded</w:t>
      </w:r>
      <w:r w:rsidR="00383534">
        <w:t xml:space="preserve"> hundreds of millions of acres of tribal homelands to help build this great Nation.  In return, the United States </w:t>
      </w:r>
      <w:r w:rsidR="009F4279">
        <w:t>made many promises</w:t>
      </w:r>
      <w:r w:rsidR="00527D99">
        <w:t xml:space="preserve"> to provide for the education, health, </w:t>
      </w:r>
      <w:r w:rsidR="00527D99" w:rsidRPr="00527D99">
        <w:t xml:space="preserve">public safety and general welfare of Indian people. </w:t>
      </w:r>
      <w:r w:rsidR="001066DE" w:rsidRPr="00461176">
        <w:rPr>
          <w:color w:val="000000"/>
        </w:rPr>
        <w:t xml:space="preserve">The </w:t>
      </w:r>
      <w:r w:rsidR="003A4AB5">
        <w:rPr>
          <w:color w:val="000000"/>
        </w:rPr>
        <w:t>U.S.</w:t>
      </w:r>
      <w:r w:rsidR="001066DE" w:rsidRPr="00461176">
        <w:rPr>
          <w:color w:val="000000"/>
        </w:rPr>
        <w:t xml:space="preserve"> Constitution specifically acknowledges </w:t>
      </w:r>
      <w:r w:rsidR="00066877">
        <w:rPr>
          <w:color w:val="000000"/>
        </w:rPr>
        <w:t>these treaties and the sovereign authority of Indian tribes as separate governments.  The</w:t>
      </w:r>
      <w:r w:rsidR="001066DE" w:rsidRPr="00461176">
        <w:rPr>
          <w:color w:val="000000"/>
        </w:rPr>
        <w:t xml:space="preserve"> Commerce Clause</w:t>
      </w:r>
      <w:r w:rsidR="00066877">
        <w:rPr>
          <w:color w:val="000000"/>
        </w:rPr>
        <w:t xml:space="preserve"> provides</w:t>
      </w:r>
      <w:r w:rsidR="001066DE" w:rsidRPr="00461176">
        <w:rPr>
          <w:color w:val="000000"/>
        </w:rPr>
        <w:t xml:space="preserve"> that “Congress shall have power to ... regulate commerce with foreign nations, and among the several states, and with </w:t>
      </w:r>
      <w:r w:rsidR="001066DE" w:rsidRPr="00461176">
        <w:rPr>
          <w:iCs/>
          <w:color w:val="000000"/>
        </w:rPr>
        <w:t>the Indian tribes</w:t>
      </w:r>
      <w:r w:rsidR="001066DE" w:rsidRPr="00461176">
        <w:rPr>
          <w:i/>
          <w:iCs/>
          <w:color w:val="000000"/>
        </w:rPr>
        <w:t>.</w:t>
      </w:r>
      <w:r w:rsidR="001066DE">
        <w:rPr>
          <w:color w:val="000000"/>
        </w:rPr>
        <w:t>”</w:t>
      </w:r>
      <w:r w:rsidR="00BD24EA">
        <w:rPr>
          <w:color w:val="000000"/>
        </w:rPr>
        <w:t xml:space="preserve"> </w:t>
      </w:r>
      <w:r w:rsidR="00BD24EA" w:rsidRPr="00461176">
        <w:t>Tribal citizens are referred to in the Apportionment Clause (“Indians not taxed”) and excluded from enumeration for congressional representation.  The 14</w:t>
      </w:r>
      <w:r w:rsidR="00BD24EA" w:rsidRPr="00461176">
        <w:rPr>
          <w:vertAlign w:val="superscript"/>
        </w:rPr>
        <w:t>th</w:t>
      </w:r>
      <w:r w:rsidR="00BD24EA" w:rsidRPr="00461176">
        <w:t xml:space="preserve"> Amendment repeats the original reference to “Indians not taxed” and acknowledges that tribal citizens were not subject to the ju</w:t>
      </w:r>
      <w:r w:rsidR="00BD24EA">
        <w:t>risdiction of the United States</w:t>
      </w:r>
      <w:r w:rsidR="00BD24EA" w:rsidRPr="00461176">
        <w:t xml:space="preserve">.  </w:t>
      </w:r>
      <w:r w:rsidR="00BD24EA">
        <w:t>By</w:t>
      </w:r>
      <w:r w:rsidR="00BD24EA" w:rsidRPr="00461176">
        <w:t xml:space="preserve"> its very text, the Constitution establishes the framework</w:t>
      </w:r>
      <w:r w:rsidR="00BD24EA">
        <w:t xml:space="preserve"> for the f</w:t>
      </w:r>
      <w:r w:rsidR="00BD24EA" w:rsidRPr="00461176">
        <w:t>ederal government-to-government relations</w:t>
      </w:r>
      <w:r w:rsidR="00BD24EA">
        <w:t>hip with Indian tribes.</w:t>
      </w:r>
      <w:r w:rsidR="001066DE">
        <w:rPr>
          <w:color w:val="000000"/>
        </w:rPr>
        <w:t xml:space="preserve"> The Constitution </w:t>
      </w:r>
      <w:r w:rsidR="00BD24EA">
        <w:rPr>
          <w:color w:val="000000"/>
        </w:rPr>
        <w:t>finally</w:t>
      </w:r>
      <w:r w:rsidR="001066DE">
        <w:rPr>
          <w:color w:val="000000"/>
        </w:rPr>
        <w:t xml:space="preserve"> acknowledges that Indian treaties</w:t>
      </w:r>
      <w:r w:rsidR="007E1ECE">
        <w:rPr>
          <w:color w:val="000000"/>
        </w:rPr>
        <w:t>, and the promises made,</w:t>
      </w:r>
      <w:r w:rsidR="001066DE">
        <w:rPr>
          <w:color w:val="000000"/>
        </w:rPr>
        <w:t xml:space="preserve"> are the supreme law of the land</w:t>
      </w:r>
      <w:r w:rsidR="00066877">
        <w:rPr>
          <w:color w:val="000000"/>
        </w:rPr>
        <w:t>.</w:t>
      </w:r>
    </w:p>
    <w:p w:rsidR="00855F09" w:rsidRPr="00527D99" w:rsidRDefault="00855F09"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p>
    <w:p w:rsidR="00DC53FB" w:rsidRDefault="00047FF3" w:rsidP="00FD6F10">
      <w:pPr>
        <w:jc w:val="both"/>
        <w:rPr>
          <w:rFonts w:cs="Arial"/>
        </w:rPr>
      </w:pPr>
      <w:r w:rsidRPr="00527D99">
        <w:rPr>
          <w:rFonts w:cs="Arial"/>
        </w:rPr>
        <w:t xml:space="preserve">Over the past two centuries, the federal government has fallen far short in meeting these solemn </w:t>
      </w:r>
      <w:r w:rsidR="007E1ECE">
        <w:rPr>
          <w:rFonts w:cs="Arial"/>
        </w:rPr>
        <w:t>promises</w:t>
      </w:r>
      <w:r w:rsidR="00066877">
        <w:rPr>
          <w:rFonts w:cs="Arial"/>
        </w:rPr>
        <w:t xml:space="preserve"> and the government’s resulting trust responsibility</w:t>
      </w:r>
      <w:r w:rsidR="003366B6">
        <w:rPr>
          <w:rFonts w:cs="Arial"/>
        </w:rPr>
        <w:t xml:space="preserve">.  </w:t>
      </w:r>
      <w:r w:rsidR="007E1ECE">
        <w:rPr>
          <w:rFonts w:cs="Arial"/>
        </w:rPr>
        <w:t>The</w:t>
      </w:r>
      <w:r w:rsidRPr="00527D99">
        <w:rPr>
          <w:rFonts w:cs="Arial"/>
        </w:rPr>
        <w:t xml:space="preserve"> late 1800’s</w:t>
      </w:r>
      <w:r w:rsidR="007E1ECE">
        <w:rPr>
          <w:rFonts w:cs="Arial"/>
        </w:rPr>
        <w:t xml:space="preserve"> federal</w:t>
      </w:r>
      <w:r w:rsidRPr="00527D99">
        <w:rPr>
          <w:rFonts w:cs="Arial"/>
        </w:rPr>
        <w:t xml:space="preserve"> policy of fo</w:t>
      </w:r>
      <w:r w:rsidR="00066877">
        <w:rPr>
          <w:rFonts w:cs="Arial"/>
        </w:rPr>
        <w:t>rced Assimilation</w:t>
      </w:r>
      <w:r w:rsidR="00097EA2">
        <w:rPr>
          <w:rFonts w:cs="Arial"/>
        </w:rPr>
        <w:t xml:space="preserve"> </w:t>
      </w:r>
      <w:r w:rsidR="00066877">
        <w:rPr>
          <w:rFonts w:cs="Arial"/>
        </w:rPr>
        <w:t>authorized the taking</w:t>
      </w:r>
      <w:r w:rsidRPr="00527D99">
        <w:rPr>
          <w:rFonts w:cs="Arial"/>
        </w:rPr>
        <w:t xml:space="preserve"> </w:t>
      </w:r>
      <w:r w:rsidR="00066877">
        <w:rPr>
          <w:rFonts w:cs="Arial"/>
        </w:rPr>
        <w:t>of</w:t>
      </w:r>
      <w:r w:rsidRPr="00527D99">
        <w:rPr>
          <w:rFonts w:cs="Arial"/>
        </w:rPr>
        <w:t xml:space="preserve"> I</w:t>
      </w:r>
      <w:r w:rsidR="00066877">
        <w:rPr>
          <w:rFonts w:cs="Arial"/>
        </w:rPr>
        <w:t xml:space="preserve">ndian children from their homes and </w:t>
      </w:r>
      <w:r w:rsidR="007E1ECE">
        <w:rPr>
          <w:rFonts w:cs="Arial"/>
        </w:rPr>
        <w:t>sending them</w:t>
      </w:r>
      <w:r w:rsidR="00066877">
        <w:rPr>
          <w:rFonts w:cs="Arial"/>
        </w:rPr>
        <w:t xml:space="preserve"> to</w:t>
      </w:r>
      <w:r w:rsidRPr="00527D99">
        <w:rPr>
          <w:rFonts w:cs="Arial"/>
        </w:rPr>
        <w:t xml:space="preserve"> military and religious boarding schools where they were forbidden from speaking their language or practicing their Native religions.  The concurrent policy of Allotment sought to destroy tribal governing structures, </w:t>
      </w:r>
      <w:r w:rsidR="00097EA2">
        <w:rPr>
          <w:rFonts w:cs="Arial"/>
        </w:rPr>
        <w:t xml:space="preserve">sold off treaty-protected Indian lands, </w:t>
      </w:r>
      <w:r w:rsidR="00066877">
        <w:rPr>
          <w:rFonts w:cs="Arial"/>
        </w:rPr>
        <w:t>eroded</w:t>
      </w:r>
      <w:r w:rsidRPr="00527D99">
        <w:rPr>
          <w:rFonts w:cs="Arial"/>
        </w:rPr>
        <w:t xml:space="preserve"> </w:t>
      </w:r>
      <w:r w:rsidR="007E1ECE">
        <w:rPr>
          <w:rFonts w:cs="Arial"/>
        </w:rPr>
        <w:t xml:space="preserve">remaining </w:t>
      </w:r>
      <w:r w:rsidRPr="00527D99">
        <w:rPr>
          <w:rFonts w:cs="Arial"/>
        </w:rPr>
        <w:t>t</w:t>
      </w:r>
      <w:r w:rsidR="00066877">
        <w:rPr>
          <w:rFonts w:cs="Arial"/>
        </w:rPr>
        <w:t>ribal land bases</w:t>
      </w:r>
      <w:r w:rsidR="007E1ECE">
        <w:rPr>
          <w:rFonts w:cs="Arial"/>
        </w:rPr>
        <w:t>,</w:t>
      </w:r>
      <w:r w:rsidR="00066877">
        <w:rPr>
          <w:rFonts w:cs="Arial"/>
        </w:rPr>
        <w:t xml:space="preserve"> and devastated</w:t>
      </w:r>
      <w:r w:rsidRPr="00527D99">
        <w:rPr>
          <w:rFonts w:cs="Arial"/>
        </w:rPr>
        <w:t xml:space="preserve"> </w:t>
      </w:r>
      <w:r w:rsidR="007E1ECE">
        <w:rPr>
          <w:rFonts w:cs="Arial"/>
        </w:rPr>
        <w:t>our</w:t>
      </w:r>
      <w:r w:rsidRPr="00527D99">
        <w:rPr>
          <w:rFonts w:cs="Arial"/>
        </w:rPr>
        <w:t xml:space="preserve"> economies.  </w:t>
      </w:r>
      <w:r w:rsidR="00527D99">
        <w:rPr>
          <w:rFonts w:cs="Arial"/>
        </w:rPr>
        <w:t xml:space="preserve">Finally, the Termination policy of the 1950’s </w:t>
      </w:r>
      <w:r w:rsidR="00097EA2">
        <w:rPr>
          <w:rFonts w:cs="Arial"/>
        </w:rPr>
        <w:t xml:space="preserve">again </w:t>
      </w:r>
      <w:r w:rsidR="00527D99">
        <w:rPr>
          <w:rFonts w:cs="Arial"/>
        </w:rPr>
        <w:t xml:space="preserve">sought to put an end to tribal governing structures, eliminate remaining tribal land bases, and attempted to relocate individual Indians from tribal lands with the help of one-way bus tickets </w:t>
      </w:r>
      <w:r w:rsidR="00066877">
        <w:rPr>
          <w:rFonts w:cs="Arial"/>
        </w:rPr>
        <w:t xml:space="preserve">from Indian lands </w:t>
      </w:r>
      <w:r w:rsidR="00527D99">
        <w:rPr>
          <w:rFonts w:cs="Arial"/>
        </w:rPr>
        <w:t xml:space="preserve">to </w:t>
      </w:r>
      <w:r w:rsidR="002954D3">
        <w:rPr>
          <w:rFonts w:cs="Arial"/>
        </w:rPr>
        <w:t xml:space="preserve">urban areas with the promise of vocational education. </w:t>
      </w:r>
      <w:r w:rsidR="003366B6">
        <w:rPr>
          <w:rFonts w:cs="Arial"/>
        </w:rPr>
        <w:t xml:space="preserve"> </w:t>
      </w:r>
    </w:p>
    <w:p w:rsidR="00DC53FB" w:rsidRDefault="00DC53FB" w:rsidP="00FD6F10">
      <w:pPr>
        <w:jc w:val="both"/>
        <w:rPr>
          <w:rFonts w:cs="Arial"/>
        </w:rPr>
      </w:pPr>
    </w:p>
    <w:p w:rsidR="00E00D77" w:rsidRDefault="003366B6" w:rsidP="00FD6F10">
      <w:pPr>
        <w:jc w:val="both"/>
        <w:rPr>
          <w:rFonts w:cs="Arial"/>
        </w:rPr>
      </w:pPr>
      <w:r>
        <w:rPr>
          <w:rFonts w:cs="Arial"/>
        </w:rPr>
        <w:t xml:space="preserve">These policies resulted in death of hundreds of thousands of our ancestors, the taking of hundreds of millions of acres of tribal homelands, the suppression of </w:t>
      </w:r>
      <w:r w:rsidR="00C54428">
        <w:rPr>
          <w:rFonts w:cs="Arial"/>
        </w:rPr>
        <w:t>tribal</w:t>
      </w:r>
      <w:r>
        <w:rPr>
          <w:rFonts w:cs="Arial"/>
        </w:rPr>
        <w:t xml:space="preserve"> religion and cul</w:t>
      </w:r>
      <w:r w:rsidR="00C54428">
        <w:rPr>
          <w:rFonts w:cs="Arial"/>
        </w:rPr>
        <w:t>ture, and the destruction of tribal</w:t>
      </w:r>
      <w:r>
        <w:rPr>
          <w:rFonts w:cs="Arial"/>
        </w:rPr>
        <w:t xml:space="preserve"> economies.  </w:t>
      </w:r>
      <w:r w:rsidR="00DC53FB">
        <w:rPr>
          <w:rFonts w:cs="Arial"/>
        </w:rPr>
        <w:t xml:space="preserve">The aftermath of these policies continues to plague </w:t>
      </w:r>
      <w:r w:rsidR="00352048">
        <w:rPr>
          <w:rFonts w:cs="Arial"/>
        </w:rPr>
        <w:t>Indian Country</w:t>
      </w:r>
      <w:r w:rsidR="00DC53FB">
        <w:rPr>
          <w:rFonts w:cs="Arial"/>
        </w:rPr>
        <w:t xml:space="preserve"> to this day</w:t>
      </w:r>
      <w:r w:rsidR="007B595C">
        <w:rPr>
          <w:rFonts w:cs="Arial"/>
        </w:rPr>
        <w:t>.</w:t>
      </w:r>
      <w:r w:rsidR="00DC53FB">
        <w:rPr>
          <w:rFonts w:cs="Arial"/>
        </w:rPr>
        <w:t xml:space="preserve"> </w:t>
      </w:r>
    </w:p>
    <w:p w:rsidR="00E00D77" w:rsidRDefault="00E00D77" w:rsidP="00FD6F10">
      <w:pPr>
        <w:jc w:val="both"/>
        <w:rPr>
          <w:rFonts w:cs="Arial"/>
        </w:rPr>
      </w:pPr>
    </w:p>
    <w:p w:rsidR="00E00D77" w:rsidRDefault="00135CDA" w:rsidP="00FD6F10">
      <w:pPr>
        <w:jc w:val="both"/>
        <w:rPr>
          <w:rFonts w:cs="Arial"/>
        </w:rPr>
      </w:pPr>
      <w:r w:rsidRPr="002954D3">
        <w:rPr>
          <w:b/>
          <w:color w:val="000000"/>
        </w:rPr>
        <w:t xml:space="preserve">TRIBAL </w:t>
      </w:r>
      <w:r w:rsidR="00DC53FB">
        <w:rPr>
          <w:b/>
          <w:color w:val="000000"/>
        </w:rPr>
        <w:t xml:space="preserve">GOVERNMENT </w:t>
      </w:r>
      <w:r w:rsidRPr="002954D3">
        <w:rPr>
          <w:b/>
          <w:color w:val="000000"/>
        </w:rPr>
        <w:t>SELF-DETERMINATION</w:t>
      </w:r>
      <w:r w:rsidR="004B3449">
        <w:rPr>
          <w:b/>
          <w:color w:val="000000"/>
        </w:rPr>
        <w:t xml:space="preserve"> AND IGRA</w:t>
      </w:r>
      <w:r w:rsidRPr="002954D3">
        <w:rPr>
          <w:b/>
          <w:color w:val="000000"/>
        </w:rPr>
        <w:t xml:space="preserve"> </w:t>
      </w:r>
    </w:p>
    <w:p w:rsidR="00622656" w:rsidRPr="002954D3" w:rsidRDefault="00622656" w:rsidP="00FD6F10">
      <w:pPr>
        <w:jc w:val="both"/>
        <w:rPr>
          <w:rFonts w:cs="Arial"/>
        </w:rPr>
      </w:pPr>
    </w:p>
    <w:p w:rsidR="00BE1746" w:rsidRDefault="00BE1746" w:rsidP="00FD6F10">
      <w:pPr>
        <w:jc w:val="both"/>
        <w:rPr>
          <w:rFonts w:cs="Arial"/>
        </w:rPr>
      </w:pPr>
      <w:r>
        <w:rPr>
          <w:rFonts w:cs="Arial"/>
        </w:rPr>
        <w:t>Tribal governments and individua</w:t>
      </w:r>
      <w:r w:rsidR="007E1ECE">
        <w:rPr>
          <w:rFonts w:cs="Arial"/>
        </w:rPr>
        <w:t xml:space="preserve">l Indians persevered.  The United States acknowledged that Indian tribes were not going to fade away and recognized the failures of these policies.  For more </w:t>
      </w:r>
      <w:r w:rsidR="007E1ECE">
        <w:rPr>
          <w:rFonts w:cs="Arial"/>
        </w:rPr>
        <w:lastRenderedPageBreak/>
        <w:t>than 40 years now, the United States has fostered an Indian affairs policy that support</w:t>
      </w:r>
      <w:r w:rsidR="00154AD1">
        <w:rPr>
          <w:rFonts w:cs="Arial"/>
        </w:rPr>
        <w:t>s</w:t>
      </w:r>
      <w:r w:rsidR="007E1ECE">
        <w:rPr>
          <w:rFonts w:cs="Arial"/>
        </w:rPr>
        <w:t xml:space="preserve"> Indian self-determination and economic self-sufficiency.</w:t>
      </w:r>
    </w:p>
    <w:p w:rsidR="00BE1746" w:rsidRDefault="00BE1746" w:rsidP="00FD6F10">
      <w:pPr>
        <w:jc w:val="both"/>
        <w:rPr>
          <w:rFonts w:cs="Arial"/>
        </w:rPr>
      </w:pPr>
    </w:p>
    <w:p w:rsidR="00174B43" w:rsidRPr="00174B43" w:rsidRDefault="003143F2" w:rsidP="00FD6F10">
      <w:pPr>
        <w:jc w:val="both"/>
        <w:rPr>
          <w:rFonts w:cs="Arial"/>
        </w:rPr>
      </w:pPr>
      <w:r w:rsidRPr="00174B43">
        <w:rPr>
          <w:rFonts w:cs="Arial"/>
        </w:rPr>
        <w:t xml:space="preserve">President Nixon made clear that the policy of self-determination is </w:t>
      </w:r>
      <w:r w:rsidR="00154AD1">
        <w:rPr>
          <w:rFonts w:cs="Arial"/>
        </w:rPr>
        <w:t xml:space="preserve">a direct rebuke to this Country’s previous policy of </w:t>
      </w:r>
      <w:r w:rsidRPr="00174B43">
        <w:rPr>
          <w:rFonts w:cs="Arial"/>
        </w:rPr>
        <w:t>termination</w:t>
      </w:r>
      <w:r w:rsidR="00154AD1">
        <w:rPr>
          <w:rFonts w:cs="Arial"/>
        </w:rPr>
        <w:t xml:space="preserve">.  This self-determination </w:t>
      </w:r>
      <w:r w:rsidRPr="00174B43">
        <w:rPr>
          <w:rFonts w:cs="Arial"/>
        </w:rPr>
        <w:t>po</w:t>
      </w:r>
      <w:r w:rsidR="00174B43" w:rsidRPr="00174B43">
        <w:rPr>
          <w:rFonts w:cs="Arial"/>
        </w:rPr>
        <w:t xml:space="preserve">licy </w:t>
      </w:r>
      <w:r w:rsidR="00154AD1">
        <w:rPr>
          <w:rFonts w:cs="Arial"/>
        </w:rPr>
        <w:t xml:space="preserve">has been reaffirmed by every successive President and </w:t>
      </w:r>
      <w:r w:rsidR="00174B43" w:rsidRPr="00174B43">
        <w:rPr>
          <w:rFonts w:cs="Arial"/>
        </w:rPr>
        <w:t xml:space="preserve">continues to acknowledge </w:t>
      </w:r>
      <w:r w:rsidR="00154AD1">
        <w:rPr>
          <w:rFonts w:cs="Arial"/>
        </w:rPr>
        <w:t xml:space="preserve">that </w:t>
      </w:r>
      <w:r w:rsidR="00174B43" w:rsidRPr="00174B43">
        <w:rPr>
          <w:rFonts w:cs="Arial"/>
        </w:rPr>
        <w:t>the federal government’s solemn treaty and trust obligations remain fully in force</w:t>
      </w:r>
      <w:r w:rsidRPr="00174B43">
        <w:rPr>
          <w:rFonts w:cs="Arial"/>
        </w:rPr>
        <w:t xml:space="preserve">. </w:t>
      </w:r>
      <w:r w:rsidR="00174B43">
        <w:rPr>
          <w:rFonts w:cs="Arial"/>
        </w:rPr>
        <w:t xml:space="preserve"> In his historic 1970 Message to Congress on Indian Affairs President Nixon stated the following:</w:t>
      </w:r>
    </w:p>
    <w:p w:rsidR="00174B43" w:rsidRPr="00174B43" w:rsidRDefault="00174B43" w:rsidP="00FD6F10">
      <w:pPr>
        <w:jc w:val="both"/>
        <w:rPr>
          <w:rFonts w:cs="Arial"/>
        </w:rPr>
      </w:pPr>
    </w:p>
    <w:p w:rsidR="00174B43" w:rsidRPr="00174B43" w:rsidRDefault="00174B43" w:rsidP="00FD6F10">
      <w:pPr>
        <w:ind w:left="720" w:right="720"/>
        <w:jc w:val="both"/>
        <w:rPr>
          <w:rFonts w:cs="Arial"/>
        </w:rPr>
      </w:pPr>
      <w:r>
        <w:rPr>
          <w:rFonts w:cs="Times"/>
          <w:color w:val="000000"/>
          <w:szCs w:val="22"/>
        </w:rPr>
        <w:t>“</w:t>
      </w:r>
      <w:r w:rsidRPr="00174B43">
        <w:rPr>
          <w:rFonts w:cs="Times"/>
          <w:color w:val="000000"/>
          <w:szCs w:val="22"/>
        </w:rPr>
        <w:t>The special relationship between Indians and the Federal government is the result instead of solemn obligations which have been entered into by the United States Government. Down through the years through written treaties and through formal and informal agreements, our government has made specific commitments to the Indian people. For their part, the Indians have often surrendered claims to vast tracts of land and have accepted life on government reservations. In exchange, the government has agreed to provide community services such as health, education and public safety, services which would presumably allow Indian communities to enjoy a standard of living comparable to that of other Americans.</w:t>
      </w:r>
      <w:r>
        <w:rPr>
          <w:rFonts w:cs="Times"/>
          <w:color w:val="000000"/>
          <w:szCs w:val="22"/>
        </w:rPr>
        <w:t>”</w:t>
      </w:r>
    </w:p>
    <w:p w:rsidR="00174B43" w:rsidRPr="00174B43" w:rsidRDefault="00174B43" w:rsidP="00FD6F10">
      <w:pPr>
        <w:jc w:val="both"/>
        <w:rPr>
          <w:rFonts w:cs="Arial"/>
        </w:rPr>
      </w:pPr>
    </w:p>
    <w:p w:rsidR="00622656" w:rsidRPr="002954D3" w:rsidRDefault="00523805" w:rsidP="00FD6F10">
      <w:pPr>
        <w:jc w:val="both"/>
        <w:rPr>
          <w:rFonts w:cs="Arial"/>
        </w:rPr>
      </w:pPr>
      <w:r>
        <w:rPr>
          <w:rFonts w:cs="Arial"/>
        </w:rPr>
        <w:t>Tired o</w:t>
      </w:r>
      <w:r w:rsidR="00154AD1">
        <w:rPr>
          <w:rFonts w:cs="Arial"/>
        </w:rPr>
        <w:t>f</w:t>
      </w:r>
      <w:r>
        <w:rPr>
          <w:rFonts w:cs="Arial"/>
        </w:rPr>
        <w:t xml:space="preserve"> waiting on the United States to fulfill these promises</w:t>
      </w:r>
      <w:r w:rsidR="00174B43">
        <w:rPr>
          <w:rFonts w:cs="Arial"/>
        </w:rPr>
        <w:t>, a handful of tribal governments in</w:t>
      </w:r>
      <w:r w:rsidR="00622656" w:rsidRPr="002954D3">
        <w:rPr>
          <w:rFonts w:cs="Arial"/>
        </w:rPr>
        <w:t xml:space="preserve"> the late 1960’s and e</w:t>
      </w:r>
      <w:r w:rsidR="00361609">
        <w:rPr>
          <w:rFonts w:cs="Arial"/>
        </w:rPr>
        <w:t>arly 1970’s</w:t>
      </w:r>
      <w:r w:rsidR="00174B43">
        <w:rPr>
          <w:rFonts w:cs="Arial"/>
        </w:rPr>
        <w:t xml:space="preserve"> </w:t>
      </w:r>
      <w:r w:rsidR="00361609">
        <w:rPr>
          <w:rFonts w:cs="Arial"/>
        </w:rPr>
        <w:t>embraced self-determination</w:t>
      </w:r>
      <w:r w:rsidR="00174B43">
        <w:rPr>
          <w:rFonts w:cs="Arial"/>
        </w:rPr>
        <w:t xml:space="preserve"> and took measures to rebuild thei</w:t>
      </w:r>
      <w:r w:rsidR="00361609">
        <w:rPr>
          <w:rFonts w:cs="Arial"/>
        </w:rPr>
        <w:t>r communities by opening</w:t>
      </w:r>
      <w:r w:rsidR="00622656" w:rsidRPr="002954D3">
        <w:rPr>
          <w:rFonts w:cs="Arial"/>
        </w:rPr>
        <w:t xml:space="preserve"> </w:t>
      </w:r>
      <w:r w:rsidR="002954D3">
        <w:rPr>
          <w:rFonts w:cs="Arial"/>
        </w:rPr>
        <w:t xml:space="preserve">the first </w:t>
      </w:r>
      <w:r w:rsidR="00596D80">
        <w:rPr>
          <w:rFonts w:cs="Arial"/>
        </w:rPr>
        <w:t xml:space="preserve">modern </w:t>
      </w:r>
      <w:r w:rsidR="002954D3">
        <w:rPr>
          <w:rFonts w:cs="Arial"/>
        </w:rPr>
        <w:t xml:space="preserve">Indian </w:t>
      </w:r>
      <w:r w:rsidR="00622656" w:rsidRPr="002954D3">
        <w:rPr>
          <w:rFonts w:cs="Arial"/>
        </w:rPr>
        <w:t>gaming operations</w:t>
      </w:r>
      <w:r>
        <w:rPr>
          <w:rFonts w:cs="Arial"/>
        </w:rPr>
        <w:t xml:space="preserve">.  These tribal governments used the revenue generated </w:t>
      </w:r>
      <w:r w:rsidR="00596D80">
        <w:rPr>
          <w:rFonts w:cs="Arial"/>
        </w:rPr>
        <w:t>to</w:t>
      </w:r>
      <w:r w:rsidR="00622656" w:rsidRPr="002954D3">
        <w:rPr>
          <w:rFonts w:cs="Arial"/>
        </w:rPr>
        <w:t xml:space="preserve"> fund essential</w:t>
      </w:r>
      <w:r w:rsidR="00361609">
        <w:rPr>
          <w:rFonts w:cs="Arial"/>
        </w:rPr>
        <w:t xml:space="preserve"> tribal government programs, cover </w:t>
      </w:r>
      <w:r w:rsidR="00622656" w:rsidRPr="002954D3">
        <w:rPr>
          <w:rFonts w:cs="Arial"/>
        </w:rPr>
        <w:t xml:space="preserve">the </w:t>
      </w:r>
      <w:r w:rsidR="00361609">
        <w:rPr>
          <w:rFonts w:cs="Arial"/>
        </w:rPr>
        <w:t xml:space="preserve">federal shortfalls, and to meet the basic needs of </w:t>
      </w:r>
      <w:r w:rsidR="00CA73D8">
        <w:rPr>
          <w:rFonts w:cs="Arial"/>
        </w:rPr>
        <w:t>their</w:t>
      </w:r>
      <w:r w:rsidR="00361609">
        <w:rPr>
          <w:rFonts w:cs="Arial"/>
        </w:rPr>
        <w:t xml:space="preserve"> people.  </w:t>
      </w:r>
    </w:p>
    <w:p w:rsidR="00417012" w:rsidRPr="002954D3" w:rsidRDefault="0041701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587F18" w:rsidRPr="007F79A0" w:rsidRDefault="0041701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2954D3">
        <w:rPr>
          <w:color w:val="000000"/>
        </w:rPr>
        <w:t>State governments and commercial gaming opera</w:t>
      </w:r>
      <w:r w:rsidR="003366B6">
        <w:rPr>
          <w:color w:val="000000"/>
        </w:rPr>
        <w:t xml:space="preserve">tions challenged </w:t>
      </w:r>
      <w:r w:rsidR="00CA73D8">
        <w:rPr>
          <w:color w:val="000000"/>
        </w:rPr>
        <w:t>these acts of Indian self-determination</w:t>
      </w:r>
      <w:r w:rsidR="00015891">
        <w:rPr>
          <w:color w:val="000000"/>
        </w:rPr>
        <w:t xml:space="preserve"> both in Congress and in the federal courts. </w:t>
      </w:r>
      <w:r w:rsidR="007F79A0">
        <w:rPr>
          <w:color w:val="000000"/>
        </w:rPr>
        <w:t xml:space="preserve">The </w:t>
      </w:r>
      <w:r w:rsidR="00015891">
        <w:rPr>
          <w:color w:val="000000"/>
        </w:rPr>
        <w:t>legal</w:t>
      </w:r>
      <w:r w:rsidRPr="002954D3">
        <w:rPr>
          <w:color w:val="000000"/>
        </w:rPr>
        <w:t xml:space="preserve"> challenges </w:t>
      </w:r>
      <w:r w:rsidR="007F79A0">
        <w:rPr>
          <w:color w:val="000000"/>
        </w:rPr>
        <w:t xml:space="preserve">to the exercise of tribal governmental gaming </w:t>
      </w:r>
      <w:r w:rsidRPr="002954D3">
        <w:rPr>
          <w:color w:val="000000"/>
        </w:rPr>
        <w:t xml:space="preserve">culminated in the </w:t>
      </w:r>
      <w:r w:rsidR="007F79A0">
        <w:rPr>
          <w:color w:val="000000"/>
        </w:rPr>
        <w:t xml:space="preserve">Supreme Court’s </w:t>
      </w:r>
      <w:r w:rsidRPr="002954D3">
        <w:rPr>
          <w:i/>
          <w:color w:val="000000"/>
        </w:rPr>
        <w:t>California v. Cabazon Band of Mission Indians</w:t>
      </w:r>
      <w:r w:rsidR="007F79A0">
        <w:rPr>
          <w:color w:val="000000"/>
        </w:rPr>
        <w:t xml:space="preserve"> decision issued in February of 1987.  </w:t>
      </w:r>
      <w:r w:rsidRPr="002954D3">
        <w:rPr>
          <w:color w:val="000000"/>
        </w:rPr>
        <w:t xml:space="preserve">The </w:t>
      </w:r>
      <w:r w:rsidRPr="002954D3">
        <w:rPr>
          <w:i/>
          <w:color w:val="000000"/>
        </w:rPr>
        <w:t>Cabazon</w:t>
      </w:r>
      <w:r w:rsidRPr="002954D3">
        <w:rPr>
          <w:color w:val="000000"/>
        </w:rPr>
        <w:t xml:space="preserve"> </w:t>
      </w:r>
      <w:r w:rsidR="004A530F">
        <w:rPr>
          <w:color w:val="000000"/>
        </w:rPr>
        <w:t xml:space="preserve">Court upheld the right of </w:t>
      </w:r>
      <w:r w:rsidR="00F00FA0">
        <w:rPr>
          <w:color w:val="000000"/>
        </w:rPr>
        <w:t xml:space="preserve">Indian </w:t>
      </w:r>
      <w:r w:rsidR="004A530F">
        <w:rPr>
          <w:color w:val="000000"/>
        </w:rPr>
        <w:t>t</w:t>
      </w:r>
      <w:r w:rsidRPr="002954D3">
        <w:rPr>
          <w:color w:val="000000"/>
        </w:rPr>
        <w:t>ribes, as governments, to conduct gaming on their lands</w:t>
      </w:r>
      <w:r w:rsidR="004A530F">
        <w:rPr>
          <w:color w:val="000000"/>
        </w:rPr>
        <w:t xml:space="preserve"> free from s</w:t>
      </w:r>
      <w:r w:rsidR="00587F18" w:rsidRPr="002954D3">
        <w:rPr>
          <w:color w:val="000000"/>
        </w:rPr>
        <w:t>tate control or interference</w:t>
      </w:r>
      <w:r w:rsidRPr="002954D3">
        <w:rPr>
          <w:color w:val="000000"/>
        </w:rPr>
        <w:t>.</w:t>
      </w:r>
      <w:r w:rsidR="00587F18" w:rsidRPr="002954D3">
        <w:rPr>
          <w:color w:val="000000"/>
        </w:rPr>
        <w:t xml:space="preserve"> </w:t>
      </w:r>
      <w:r w:rsidRPr="002954D3">
        <w:rPr>
          <w:color w:val="000000"/>
        </w:rPr>
        <w:t xml:space="preserve"> The Court reasoned that Indian gaming is crucial to </w:t>
      </w:r>
      <w:r w:rsidRPr="007F79A0">
        <w:rPr>
          <w:color w:val="000000"/>
        </w:rPr>
        <w:t>trib</w:t>
      </w:r>
      <w:r w:rsidR="00587F18" w:rsidRPr="007F79A0">
        <w:rPr>
          <w:color w:val="000000"/>
        </w:rPr>
        <w:t>al self-determination and self-</w:t>
      </w:r>
      <w:r w:rsidRPr="007F79A0">
        <w:rPr>
          <w:color w:val="000000"/>
        </w:rPr>
        <w:t xml:space="preserve">governance because it provides tribal governments with a means to generate governmental revenue for essential services and functions. </w:t>
      </w:r>
      <w:r w:rsidR="007F79A0">
        <w:rPr>
          <w:szCs w:val="23"/>
        </w:rPr>
        <w:t xml:space="preserve"> The</w:t>
      </w:r>
      <w:r w:rsidR="007F79A0" w:rsidRPr="007F79A0">
        <w:rPr>
          <w:szCs w:val="23"/>
        </w:rPr>
        <w:t xml:space="preserve"> decision </w:t>
      </w:r>
      <w:r w:rsidR="00AF6980">
        <w:rPr>
          <w:szCs w:val="23"/>
        </w:rPr>
        <w:t>vindicated</w:t>
      </w:r>
      <w:r w:rsidR="007F79A0">
        <w:rPr>
          <w:szCs w:val="23"/>
        </w:rPr>
        <w:t xml:space="preserve"> the right of tribal governments</w:t>
      </w:r>
      <w:r w:rsidR="007F79A0" w:rsidRPr="007F79A0">
        <w:rPr>
          <w:szCs w:val="23"/>
        </w:rPr>
        <w:t xml:space="preserve"> to engage in gaming activity </w:t>
      </w:r>
      <w:r w:rsidR="007F79A0">
        <w:rPr>
          <w:szCs w:val="23"/>
        </w:rPr>
        <w:t>free of interference from state governments</w:t>
      </w:r>
      <w:r w:rsidR="007F79A0" w:rsidRPr="007F79A0">
        <w:rPr>
          <w:szCs w:val="23"/>
        </w:rPr>
        <w:t xml:space="preserve">. With the </w:t>
      </w:r>
      <w:r w:rsidR="007F79A0" w:rsidRPr="007F79A0">
        <w:rPr>
          <w:i/>
          <w:iCs/>
          <w:szCs w:val="23"/>
        </w:rPr>
        <w:t xml:space="preserve">Cabazon </w:t>
      </w:r>
      <w:r w:rsidR="007F79A0" w:rsidRPr="007F79A0">
        <w:rPr>
          <w:szCs w:val="23"/>
        </w:rPr>
        <w:t>decision, the</w:t>
      </w:r>
      <w:r w:rsidR="00596D80">
        <w:rPr>
          <w:szCs w:val="23"/>
        </w:rPr>
        <w:t xml:space="preserve"> debate in Congress and the</w:t>
      </w:r>
      <w:r w:rsidR="007F79A0" w:rsidRPr="007F79A0">
        <w:rPr>
          <w:szCs w:val="23"/>
        </w:rPr>
        <w:t xml:space="preserve"> legislative momentum and </w:t>
      </w:r>
      <w:r w:rsidR="00AF6980">
        <w:rPr>
          <w:szCs w:val="23"/>
        </w:rPr>
        <w:t>leverage</w:t>
      </w:r>
      <w:r w:rsidR="007F79A0" w:rsidRPr="007F79A0">
        <w:rPr>
          <w:szCs w:val="23"/>
        </w:rPr>
        <w:t xml:space="preserve"> shifted from the state</w:t>
      </w:r>
      <w:r w:rsidR="00AF6980">
        <w:rPr>
          <w:szCs w:val="23"/>
        </w:rPr>
        <w:t xml:space="preserve"> / commercial </w:t>
      </w:r>
      <w:r w:rsidR="007F79A0" w:rsidRPr="007F79A0">
        <w:rPr>
          <w:szCs w:val="23"/>
        </w:rPr>
        <w:t>gaming industry position to the tribal government position.</w:t>
      </w:r>
    </w:p>
    <w:p w:rsidR="00587F18" w:rsidRPr="007F79A0" w:rsidRDefault="00587F1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6018E7" w:rsidRDefault="00AF6980"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After </w:t>
      </w:r>
      <w:r w:rsidRPr="00AF6980">
        <w:rPr>
          <w:i/>
          <w:color w:val="000000"/>
        </w:rPr>
        <w:t>Cabazon</w:t>
      </w:r>
      <w:r>
        <w:rPr>
          <w:color w:val="000000"/>
        </w:rPr>
        <w:t>, s</w:t>
      </w:r>
      <w:r w:rsidR="006018E7" w:rsidRPr="007F79A0">
        <w:rPr>
          <w:color w:val="000000"/>
        </w:rPr>
        <w:t xml:space="preserve">tates and commercial gaming interests </w:t>
      </w:r>
      <w:r w:rsidR="00596D80">
        <w:rPr>
          <w:color w:val="000000"/>
        </w:rPr>
        <w:t xml:space="preserve">nevertheless </w:t>
      </w:r>
      <w:r>
        <w:rPr>
          <w:color w:val="000000"/>
        </w:rPr>
        <w:t>doubled</w:t>
      </w:r>
      <w:r w:rsidR="006018E7" w:rsidRPr="007F79A0">
        <w:rPr>
          <w:color w:val="000000"/>
        </w:rPr>
        <w:t xml:space="preserve"> their </w:t>
      </w:r>
      <w:r>
        <w:rPr>
          <w:color w:val="000000"/>
        </w:rPr>
        <w:t xml:space="preserve">legislative </w:t>
      </w:r>
      <w:r w:rsidR="00596D80">
        <w:rPr>
          <w:color w:val="000000"/>
        </w:rPr>
        <w:t xml:space="preserve">efforts, urging Congress </w:t>
      </w:r>
      <w:r>
        <w:rPr>
          <w:color w:val="000000"/>
        </w:rPr>
        <w:t>to enact limits on Indian gaming</w:t>
      </w:r>
      <w:r w:rsidR="006018E7" w:rsidRPr="007F79A0">
        <w:rPr>
          <w:color w:val="000000"/>
        </w:rPr>
        <w:t>.</w:t>
      </w:r>
      <w:r w:rsidR="006018E7" w:rsidRPr="006018E7">
        <w:rPr>
          <w:color w:val="000000"/>
        </w:rPr>
        <w:t xml:space="preserve">  </w:t>
      </w:r>
      <w:r w:rsidR="006018E7">
        <w:rPr>
          <w:color w:val="000000"/>
        </w:rPr>
        <w:t>Their primary rationale for opposing Indian gaming was the threat of organized crime.  However, this Committee found that</w:t>
      </w:r>
      <w:r w:rsidR="00523805">
        <w:rPr>
          <w:color w:val="000000"/>
        </w:rPr>
        <w:t xml:space="preserve"> </w:t>
      </w:r>
      <w:r w:rsidR="006018E7">
        <w:rPr>
          <w:szCs w:val="29"/>
        </w:rPr>
        <w:t>after approximately</w:t>
      </w:r>
      <w:r w:rsidR="006018E7" w:rsidRPr="006018E7">
        <w:rPr>
          <w:szCs w:val="29"/>
        </w:rPr>
        <w:t xml:space="preserve"> </w:t>
      </w:r>
      <w:r w:rsidR="00596D80">
        <w:rPr>
          <w:szCs w:val="30"/>
        </w:rPr>
        <w:t>fifteen</w:t>
      </w:r>
      <w:r w:rsidR="006018E7" w:rsidRPr="006018E7">
        <w:rPr>
          <w:szCs w:val="30"/>
        </w:rPr>
        <w:t xml:space="preserve"> </w:t>
      </w:r>
      <w:r w:rsidR="006018E7" w:rsidRPr="006018E7">
        <w:rPr>
          <w:szCs w:val="29"/>
        </w:rPr>
        <w:t>years of gaming activity on Indian reservations</w:t>
      </w:r>
      <w:r w:rsidR="00523805">
        <w:rPr>
          <w:szCs w:val="29"/>
        </w:rPr>
        <w:t xml:space="preserve"> (as of 1988)</w:t>
      </w:r>
      <w:r w:rsidR="006018E7" w:rsidRPr="006018E7">
        <w:rPr>
          <w:szCs w:val="29"/>
        </w:rPr>
        <w:t xml:space="preserve"> there</w:t>
      </w:r>
      <w:r w:rsidR="006018E7">
        <w:rPr>
          <w:color w:val="000000"/>
        </w:rPr>
        <w:t xml:space="preserve"> </w:t>
      </w:r>
      <w:r w:rsidR="006018E7">
        <w:rPr>
          <w:szCs w:val="29"/>
        </w:rPr>
        <w:t>had never been on</w:t>
      </w:r>
      <w:r w:rsidR="006018E7" w:rsidRPr="006018E7">
        <w:rPr>
          <w:szCs w:val="29"/>
        </w:rPr>
        <w:t>e clearly proven case of organized criminal activity.</w:t>
      </w:r>
    </w:p>
    <w:p w:rsidR="006018E7" w:rsidRDefault="006018E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6018E7" w:rsidRPr="006018E7" w:rsidRDefault="000F335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At the same time, m</w:t>
      </w:r>
      <w:r w:rsidR="00941287">
        <w:rPr>
          <w:color w:val="000000"/>
        </w:rPr>
        <w:t xml:space="preserve">any tribal leaders opposed the legislative proposals that became IGRA.  Their opposition </w:t>
      </w:r>
      <w:r>
        <w:rPr>
          <w:color w:val="000000"/>
        </w:rPr>
        <w:t xml:space="preserve">focused primarily on the proposal in IGRA that required tribal governments to </w:t>
      </w:r>
      <w:r>
        <w:rPr>
          <w:color w:val="000000"/>
        </w:rPr>
        <w:lastRenderedPageBreak/>
        <w:t xml:space="preserve">enter into compacts with the states in order to conduct class III gaming.  States have historically been adversaries of tribal sovereignty, seeking to regulate, tax, and impose jurisdiction over Indian lands.  In addition, Indian tribes entered into solemn treaties with the United States, not the several states.  </w:t>
      </w:r>
    </w:p>
    <w:p w:rsidR="006018E7" w:rsidRDefault="006018E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610921" w:rsidRPr="00610921" w:rsidRDefault="0041701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610921">
        <w:rPr>
          <w:color w:val="000000"/>
        </w:rPr>
        <w:t xml:space="preserve">In </w:t>
      </w:r>
      <w:r w:rsidR="000F3352">
        <w:rPr>
          <w:color w:val="000000"/>
        </w:rPr>
        <w:t xml:space="preserve">October of </w:t>
      </w:r>
      <w:r w:rsidRPr="00610921">
        <w:rPr>
          <w:color w:val="000000"/>
        </w:rPr>
        <w:t xml:space="preserve">1988, </w:t>
      </w:r>
      <w:r w:rsidR="000F3352">
        <w:rPr>
          <w:color w:val="000000"/>
        </w:rPr>
        <w:t>approximately 18 months</w:t>
      </w:r>
      <w:r w:rsidRPr="00610921">
        <w:rPr>
          <w:color w:val="000000"/>
        </w:rPr>
        <w:t xml:space="preserve"> after the </w:t>
      </w:r>
      <w:r w:rsidRPr="00610921">
        <w:rPr>
          <w:i/>
          <w:color w:val="000000"/>
        </w:rPr>
        <w:t>Cabazon</w:t>
      </w:r>
      <w:r w:rsidR="000F3352">
        <w:rPr>
          <w:color w:val="000000"/>
        </w:rPr>
        <w:t xml:space="preserve"> decision, Congress enacted IGRA</w:t>
      </w:r>
      <w:r w:rsidRPr="00610921">
        <w:rPr>
          <w:color w:val="000000"/>
        </w:rPr>
        <w:t>.</w:t>
      </w:r>
      <w:r w:rsidR="00587F18" w:rsidRPr="00610921">
        <w:rPr>
          <w:color w:val="000000"/>
        </w:rPr>
        <w:t xml:space="preserve"> </w:t>
      </w:r>
      <w:r w:rsidR="00DB2111" w:rsidRPr="00610921">
        <w:t>The stated goals of IGRA include the promotion of tribal economic development</w:t>
      </w:r>
      <w:r w:rsidR="004A530F" w:rsidRPr="00610921">
        <w:t xml:space="preserve"> and self-sufficiency</w:t>
      </w:r>
      <w:r w:rsidR="00DB2111" w:rsidRPr="00610921">
        <w:t xml:space="preserve">, strengthening </w:t>
      </w:r>
      <w:r w:rsidR="004A530F" w:rsidRPr="00610921">
        <w:t>tribal governments</w:t>
      </w:r>
      <w:r w:rsidR="00DB2111" w:rsidRPr="00610921">
        <w:t xml:space="preserve">, and establishing a federal framework to regulate Indian gaming. </w:t>
      </w:r>
      <w:r w:rsidR="003A30E3" w:rsidRPr="00610921">
        <w:rPr>
          <w:color w:val="000000"/>
        </w:rPr>
        <w:t>The Act</w:t>
      </w:r>
      <w:r w:rsidR="00181F3B" w:rsidRPr="00610921">
        <w:rPr>
          <w:color w:val="000000"/>
        </w:rPr>
        <w:t xml:space="preserve"> also</w:t>
      </w:r>
      <w:r w:rsidR="003A30E3" w:rsidRPr="00610921">
        <w:rPr>
          <w:color w:val="000000"/>
        </w:rPr>
        <w:t xml:space="preserve"> established the National Indian Gaming Commission (NIGC).  While there are dozens of forms of </w:t>
      </w:r>
      <w:r w:rsidR="00523805">
        <w:rPr>
          <w:color w:val="000000"/>
        </w:rPr>
        <w:t>gaming</w:t>
      </w:r>
      <w:r w:rsidR="003A30E3" w:rsidRPr="00610921">
        <w:rPr>
          <w:color w:val="000000"/>
        </w:rPr>
        <w:t xml:space="preserve"> </w:t>
      </w:r>
      <w:r w:rsidR="00154AD1">
        <w:rPr>
          <w:color w:val="000000"/>
        </w:rPr>
        <w:t xml:space="preserve">across </w:t>
      </w:r>
      <w:r w:rsidR="003A30E3" w:rsidRPr="00610921">
        <w:rPr>
          <w:color w:val="000000"/>
        </w:rPr>
        <w:t>America, the NIGC</w:t>
      </w:r>
      <w:r w:rsidR="00181F3B" w:rsidRPr="00610921">
        <w:rPr>
          <w:color w:val="000000"/>
        </w:rPr>
        <w:t xml:space="preserve"> is the only federal </w:t>
      </w:r>
      <w:r w:rsidR="00523805">
        <w:rPr>
          <w:color w:val="000000"/>
        </w:rPr>
        <w:t>agency that</w:t>
      </w:r>
      <w:r w:rsidR="003A30E3" w:rsidRPr="00610921">
        <w:rPr>
          <w:color w:val="000000"/>
        </w:rPr>
        <w:t xml:space="preserve"> </w:t>
      </w:r>
      <w:r w:rsidR="00523805">
        <w:rPr>
          <w:color w:val="000000"/>
        </w:rPr>
        <w:t xml:space="preserve">directly </w:t>
      </w:r>
      <w:r w:rsidR="003A30E3" w:rsidRPr="00610921">
        <w:rPr>
          <w:color w:val="000000"/>
        </w:rPr>
        <w:t>regulate</w:t>
      </w:r>
      <w:r w:rsidR="00523805">
        <w:rPr>
          <w:color w:val="000000"/>
        </w:rPr>
        <w:t>s</w:t>
      </w:r>
      <w:r w:rsidR="003A30E3" w:rsidRPr="00610921">
        <w:rPr>
          <w:color w:val="000000"/>
        </w:rPr>
        <w:t xml:space="preserve"> </w:t>
      </w:r>
      <w:r w:rsidR="00154AD1">
        <w:rPr>
          <w:color w:val="000000"/>
        </w:rPr>
        <w:t>gambling in</w:t>
      </w:r>
      <w:r w:rsidR="003A30E3" w:rsidRPr="00610921">
        <w:rPr>
          <w:color w:val="000000"/>
        </w:rPr>
        <w:t xml:space="preserve"> the United States.  </w:t>
      </w:r>
    </w:p>
    <w:p w:rsidR="00610921" w:rsidRPr="00610921" w:rsidRDefault="00610921"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150D53" w:rsidRPr="00610921" w:rsidRDefault="0052380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szCs w:val="23"/>
        </w:rPr>
        <w:t xml:space="preserve">In the end, </w:t>
      </w:r>
      <w:r w:rsidR="00596D80">
        <w:rPr>
          <w:szCs w:val="23"/>
        </w:rPr>
        <w:t xml:space="preserve">IGRA is a compromise that balances the interests of tribal, federal, and state governments.  However, the Act </w:t>
      </w:r>
      <w:r w:rsidR="000F3352">
        <w:rPr>
          <w:szCs w:val="23"/>
        </w:rPr>
        <w:t xml:space="preserve">is </w:t>
      </w:r>
      <w:r w:rsidR="00596D80">
        <w:rPr>
          <w:szCs w:val="23"/>
        </w:rPr>
        <w:t xml:space="preserve">grounded and </w:t>
      </w:r>
      <w:r w:rsidR="000F3352">
        <w:rPr>
          <w:szCs w:val="23"/>
        </w:rPr>
        <w:t>premised on t</w:t>
      </w:r>
      <w:r w:rsidR="00610921" w:rsidRPr="00610921">
        <w:rPr>
          <w:szCs w:val="23"/>
        </w:rPr>
        <w:t xml:space="preserve">he </w:t>
      </w:r>
      <w:r w:rsidR="000F3352">
        <w:rPr>
          <w:szCs w:val="23"/>
        </w:rPr>
        <w:t>fundamental</w:t>
      </w:r>
      <w:r w:rsidR="00610921" w:rsidRPr="00610921">
        <w:rPr>
          <w:szCs w:val="23"/>
        </w:rPr>
        <w:t xml:space="preserve"> principle </w:t>
      </w:r>
      <w:r w:rsidR="00154AD1">
        <w:rPr>
          <w:szCs w:val="23"/>
        </w:rPr>
        <w:t xml:space="preserve">of Indian law that government powers retained by </w:t>
      </w:r>
      <w:r w:rsidR="00610921" w:rsidRPr="00610921">
        <w:rPr>
          <w:szCs w:val="23"/>
        </w:rPr>
        <w:t xml:space="preserve">an Indian tribe are not, in general, delegated powers granted by express acts of Congress, but rather “inherent powers of a limited sovereignty which has never been extinguished.” </w:t>
      </w:r>
      <w:r w:rsidR="000F3352">
        <w:rPr>
          <w:szCs w:val="23"/>
        </w:rPr>
        <w:t xml:space="preserve">The Act acknowledges that </w:t>
      </w:r>
      <w:r w:rsidR="00610921" w:rsidRPr="00610921">
        <w:rPr>
          <w:szCs w:val="23"/>
        </w:rPr>
        <w:t>Indian tribes still possess those aspects of sovereignty not withdrawn by trea</w:t>
      </w:r>
      <w:r>
        <w:rPr>
          <w:szCs w:val="23"/>
        </w:rPr>
        <w:t>ty or statute.</w:t>
      </w:r>
      <w:r w:rsidR="00610921" w:rsidRPr="00610921">
        <w:rPr>
          <w:szCs w:val="23"/>
        </w:rPr>
        <w:t xml:space="preserve"> This principle guides determinations </w:t>
      </w:r>
      <w:r>
        <w:rPr>
          <w:szCs w:val="23"/>
        </w:rPr>
        <w:t>regarding</w:t>
      </w:r>
      <w:r w:rsidR="00610921" w:rsidRPr="00610921">
        <w:rPr>
          <w:szCs w:val="23"/>
        </w:rPr>
        <w:t xml:space="preserve"> the scope of tribal authority</w:t>
      </w:r>
      <w:r w:rsidR="000F3352">
        <w:rPr>
          <w:szCs w:val="23"/>
        </w:rPr>
        <w:t xml:space="preserve"> in general and </w:t>
      </w:r>
      <w:r>
        <w:rPr>
          <w:szCs w:val="23"/>
        </w:rPr>
        <w:t>in particular when implementing and interpreting IGRA</w:t>
      </w:r>
      <w:r w:rsidR="00610921">
        <w:rPr>
          <w:szCs w:val="23"/>
        </w:rPr>
        <w:t xml:space="preserve">. </w:t>
      </w:r>
      <w:r w:rsidR="00596D80">
        <w:rPr>
          <w:szCs w:val="23"/>
        </w:rPr>
        <w:t xml:space="preserve"> </w:t>
      </w:r>
    </w:p>
    <w:p w:rsidR="00150D53" w:rsidRPr="00610921" w:rsidRDefault="00150D53"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C44E5C" w:rsidRPr="00461176" w:rsidRDefault="000F335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As you can see, </w:t>
      </w:r>
      <w:r w:rsidR="00150D53" w:rsidRPr="00610921">
        <w:rPr>
          <w:color w:val="000000"/>
        </w:rPr>
        <w:t xml:space="preserve">IGRA did not come from </w:t>
      </w:r>
      <w:r w:rsidR="00352048">
        <w:rPr>
          <w:color w:val="000000"/>
        </w:rPr>
        <w:t>Indian Country</w:t>
      </w:r>
      <w:r w:rsidR="004A530F" w:rsidRPr="00610921">
        <w:rPr>
          <w:color w:val="000000"/>
        </w:rPr>
        <w:t xml:space="preserve">. </w:t>
      </w:r>
      <w:r w:rsidR="00150D53" w:rsidRPr="00DB2111">
        <w:rPr>
          <w:color w:val="000000"/>
        </w:rPr>
        <w:t xml:space="preserve">The Act is far from </w:t>
      </w:r>
      <w:r w:rsidR="00150D53">
        <w:rPr>
          <w:color w:val="000000"/>
        </w:rPr>
        <w:t>perfect, and the U.S. Supreme Court has added to its imperf</w:t>
      </w:r>
      <w:r w:rsidR="00E13EDB">
        <w:rPr>
          <w:color w:val="000000"/>
        </w:rPr>
        <w:t xml:space="preserve">ections.  However, for </w:t>
      </w:r>
      <w:r w:rsidR="00596D80">
        <w:rPr>
          <w:color w:val="000000"/>
        </w:rPr>
        <w:t>twenty-five</w:t>
      </w:r>
      <w:r w:rsidR="00150D53">
        <w:rPr>
          <w:color w:val="000000"/>
        </w:rPr>
        <w:t xml:space="preserve"> years</w:t>
      </w:r>
      <w:r>
        <w:rPr>
          <w:color w:val="000000"/>
        </w:rPr>
        <w:t xml:space="preserve"> now</w:t>
      </w:r>
      <w:r w:rsidR="00150D53">
        <w:rPr>
          <w:color w:val="000000"/>
        </w:rPr>
        <w:t xml:space="preserve">, more than 200 tribes nationwide have made IGRA work to help begin to rebuild </w:t>
      </w:r>
      <w:r w:rsidR="00596D80">
        <w:rPr>
          <w:color w:val="000000"/>
        </w:rPr>
        <w:t>our</w:t>
      </w:r>
      <w:r w:rsidR="00150D53">
        <w:rPr>
          <w:color w:val="000000"/>
        </w:rPr>
        <w:t xml:space="preserve"> communities</w:t>
      </w:r>
      <w:r w:rsidR="00DB2111">
        <w:rPr>
          <w:color w:val="000000"/>
        </w:rPr>
        <w:t xml:space="preserve"> and meet the stated goals of the Act</w:t>
      </w:r>
      <w:r w:rsidR="00150D53">
        <w:rPr>
          <w:color w:val="000000"/>
        </w:rPr>
        <w:t xml:space="preserve">.  </w:t>
      </w:r>
    </w:p>
    <w:p w:rsidR="009E0EC2" w:rsidRPr="00461176" w:rsidRDefault="009E0EC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F201C9" w:rsidRPr="00FA755D" w:rsidRDefault="00A42E40"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r w:rsidRPr="00FA755D">
        <w:rPr>
          <w:b/>
          <w:color w:val="000000"/>
        </w:rPr>
        <w:t xml:space="preserve">THE </w:t>
      </w:r>
      <w:r w:rsidR="009E0EC2" w:rsidRPr="00FA755D">
        <w:rPr>
          <w:b/>
          <w:color w:val="000000"/>
        </w:rPr>
        <w:t>STATE OF INDIAN GAMING</w:t>
      </w:r>
      <w:r w:rsidRPr="00FA755D">
        <w:rPr>
          <w:b/>
          <w:color w:val="000000"/>
        </w:rPr>
        <w:t>: IGRA’S FIRST 25 YEARS</w:t>
      </w:r>
    </w:p>
    <w:p w:rsidR="00FA755D" w:rsidRPr="00FA755D" w:rsidRDefault="00FA755D"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p>
    <w:p w:rsidR="00383659" w:rsidRDefault="00596D80" w:rsidP="00FD6F10">
      <w:pPr>
        <w:widowControl w:val="0"/>
        <w:autoSpaceDE w:val="0"/>
        <w:autoSpaceDN w:val="0"/>
        <w:adjustRightInd w:val="0"/>
        <w:jc w:val="both"/>
        <w:rPr>
          <w:szCs w:val="29"/>
        </w:rPr>
      </w:pPr>
      <w:r>
        <w:rPr>
          <w:szCs w:val="29"/>
        </w:rPr>
        <w:t xml:space="preserve">It would be </w:t>
      </w:r>
      <w:r w:rsidR="00966632" w:rsidRPr="00006633">
        <w:rPr>
          <w:szCs w:val="29"/>
        </w:rPr>
        <w:t>an</w:t>
      </w:r>
      <w:r w:rsidR="00966632">
        <w:rPr>
          <w:szCs w:val="29"/>
        </w:rPr>
        <w:t xml:space="preserve"> </w:t>
      </w:r>
      <w:r>
        <w:rPr>
          <w:szCs w:val="29"/>
        </w:rPr>
        <w:t xml:space="preserve">understatement to say that Indian gaming has come far in the past twenty-five years.  </w:t>
      </w:r>
      <w:r w:rsidR="007F79A0">
        <w:rPr>
          <w:szCs w:val="29"/>
        </w:rPr>
        <w:t xml:space="preserve">  </w:t>
      </w:r>
      <w:r w:rsidR="007F79A0">
        <w:rPr>
          <w:color w:val="000000"/>
        </w:rPr>
        <w:t xml:space="preserve">Congress first began consideration of legislation to regulate Indian gaming in 1984.  In June of 1984, the Interior Department’s Deputy Assistant Secretary for Indian Affairs testified that approximately 80 tribal governments were engaged in gaming with estimated revenues in the tens of millions. </w:t>
      </w:r>
      <w:r w:rsidR="007F79A0">
        <w:rPr>
          <w:szCs w:val="29"/>
        </w:rPr>
        <w:t>At the time, and for some tim</w:t>
      </w:r>
      <w:r w:rsidR="00523805">
        <w:rPr>
          <w:szCs w:val="29"/>
        </w:rPr>
        <w:t>e after the enactment of IGRA</w:t>
      </w:r>
      <w:r w:rsidR="007F79A0">
        <w:rPr>
          <w:szCs w:val="29"/>
        </w:rPr>
        <w:t>, m</w:t>
      </w:r>
      <w:r w:rsidR="00950A77">
        <w:rPr>
          <w:szCs w:val="29"/>
        </w:rPr>
        <w:t xml:space="preserve">any tribal </w:t>
      </w:r>
      <w:r w:rsidR="008C326D">
        <w:rPr>
          <w:szCs w:val="29"/>
        </w:rPr>
        <w:t xml:space="preserve">gaming operations began </w:t>
      </w:r>
      <w:r w:rsidR="00950A77">
        <w:rPr>
          <w:szCs w:val="29"/>
        </w:rPr>
        <w:t>in temporary pop-up</w:t>
      </w:r>
      <w:r w:rsidR="00383659">
        <w:rPr>
          <w:szCs w:val="29"/>
        </w:rPr>
        <w:t xml:space="preserve"> buildings or local tribal gyms.  </w:t>
      </w:r>
    </w:p>
    <w:p w:rsidR="00383659" w:rsidRDefault="00383659" w:rsidP="00FD6F10">
      <w:pPr>
        <w:widowControl w:val="0"/>
        <w:autoSpaceDE w:val="0"/>
        <w:autoSpaceDN w:val="0"/>
        <w:adjustRightInd w:val="0"/>
        <w:jc w:val="both"/>
        <w:rPr>
          <w:szCs w:val="29"/>
        </w:rPr>
      </w:pPr>
    </w:p>
    <w:p w:rsidR="00166C65" w:rsidRDefault="00383659" w:rsidP="00FD6F10">
      <w:pPr>
        <w:widowControl w:val="0"/>
        <w:autoSpaceDE w:val="0"/>
        <w:autoSpaceDN w:val="0"/>
        <w:adjustRightInd w:val="0"/>
        <w:jc w:val="both"/>
        <w:rPr>
          <w:szCs w:val="29"/>
        </w:rPr>
      </w:pPr>
      <w:r>
        <w:rPr>
          <w:szCs w:val="29"/>
        </w:rPr>
        <w:t xml:space="preserve">Back in the early 1980s, I was playing basketball in the gym on our Reservation.  I remember that at least once a week the tribal leaders, elders, and others would </w:t>
      </w:r>
      <w:r w:rsidR="00154AD1">
        <w:rPr>
          <w:szCs w:val="29"/>
        </w:rPr>
        <w:t xml:space="preserve">chase </w:t>
      </w:r>
      <w:r>
        <w:rPr>
          <w:szCs w:val="29"/>
        </w:rPr>
        <w:t xml:space="preserve">us kids away to make room for chairs and tables and food and to prepare for the evening’s bingo games.  </w:t>
      </w:r>
    </w:p>
    <w:p w:rsidR="00166C65" w:rsidRDefault="00166C65" w:rsidP="00FD6F10">
      <w:pPr>
        <w:widowControl w:val="0"/>
        <w:autoSpaceDE w:val="0"/>
        <w:autoSpaceDN w:val="0"/>
        <w:adjustRightInd w:val="0"/>
        <w:jc w:val="both"/>
        <w:rPr>
          <w:szCs w:val="29"/>
        </w:rPr>
      </w:pPr>
    </w:p>
    <w:p w:rsidR="00361609" w:rsidRPr="00B156DE" w:rsidRDefault="008C326D" w:rsidP="00FD6F10">
      <w:pPr>
        <w:widowControl w:val="0"/>
        <w:autoSpaceDE w:val="0"/>
        <w:autoSpaceDN w:val="0"/>
        <w:adjustRightInd w:val="0"/>
        <w:jc w:val="both"/>
        <w:rPr>
          <w:szCs w:val="29"/>
        </w:rPr>
      </w:pPr>
      <w:r>
        <w:rPr>
          <w:szCs w:val="29"/>
        </w:rPr>
        <w:t>From these humble means, Indian gam</w:t>
      </w:r>
      <w:r w:rsidR="00D056D7">
        <w:rPr>
          <w:szCs w:val="29"/>
        </w:rPr>
        <w:t xml:space="preserve">ing has responsibly grown to provide a steady source of governmental revenue for </w:t>
      </w:r>
      <w:r w:rsidR="00523805">
        <w:rPr>
          <w:szCs w:val="29"/>
        </w:rPr>
        <w:t>Indian tribes</w:t>
      </w:r>
      <w:r w:rsidR="00D056D7">
        <w:rPr>
          <w:szCs w:val="29"/>
        </w:rPr>
        <w:t xml:space="preserve"> nationwide</w:t>
      </w:r>
      <w:r>
        <w:rPr>
          <w:szCs w:val="29"/>
        </w:rPr>
        <w:t xml:space="preserve">. </w:t>
      </w:r>
      <w:r w:rsidR="00D056D7">
        <w:rPr>
          <w:szCs w:val="23"/>
        </w:rPr>
        <w:t>In 2013, 245 tribal g</w:t>
      </w:r>
      <w:r w:rsidR="00F678D8">
        <w:rPr>
          <w:szCs w:val="23"/>
        </w:rPr>
        <w:t>overnments operated</w:t>
      </w:r>
      <w:r w:rsidR="00F678D8" w:rsidRPr="00F678D8">
        <w:rPr>
          <w:szCs w:val="23"/>
        </w:rPr>
        <w:t xml:space="preserve"> 445 </w:t>
      </w:r>
      <w:r w:rsidR="00F678D8">
        <w:rPr>
          <w:szCs w:val="23"/>
        </w:rPr>
        <w:t xml:space="preserve">gaming facilities in 28 states, helping </w:t>
      </w:r>
      <w:r w:rsidR="00F678D8" w:rsidRPr="00F678D8">
        <w:rPr>
          <w:szCs w:val="23"/>
        </w:rPr>
        <w:t xml:space="preserve">Indian gaming grow to $28.6 billion in </w:t>
      </w:r>
      <w:r w:rsidR="00F678D8">
        <w:rPr>
          <w:szCs w:val="23"/>
        </w:rPr>
        <w:t>direct</w:t>
      </w:r>
      <w:r w:rsidR="00F678D8" w:rsidRPr="00F678D8">
        <w:rPr>
          <w:szCs w:val="23"/>
        </w:rPr>
        <w:t xml:space="preserve"> revenues and $3.5 billion in ancillary revenues</w:t>
      </w:r>
      <w:r w:rsidR="00F678D8">
        <w:rPr>
          <w:rStyle w:val="FootnoteReference"/>
          <w:szCs w:val="23"/>
        </w:rPr>
        <w:footnoteReference w:id="1"/>
      </w:r>
      <w:r w:rsidR="00F678D8" w:rsidRPr="00F678D8">
        <w:rPr>
          <w:szCs w:val="23"/>
        </w:rPr>
        <w:t xml:space="preserve"> for a total of $32.1 billion in total revenues. This represents a 2.5% increase from </w:t>
      </w:r>
      <w:r w:rsidR="00F678D8">
        <w:rPr>
          <w:szCs w:val="23"/>
        </w:rPr>
        <w:t xml:space="preserve">2012. </w:t>
      </w:r>
      <w:r w:rsidR="00D056D7">
        <w:t xml:space="preserve">It’s been said before, but it holds true to this day: Indian </w:t>
      </w:r>
      <w:r w:rsidR="00D056D7">
        <w:lastRenderedPageBreak/>
        <w:t xml:space="preserve">gaming is </w:t>
      </w:r>
      <w:r w:rsidR="00D056D7" w:rsidRPr="00F678D8">
        <w:rPr>
          <w:color w:val="000000"/>
        </w:rPr>
        <w:t>the most successful tool for economic development for many Indian tribes</w:t>
      </w:r>
      <w:r w:rsidR="00D056D7">
        <w:rPr>
          <w:color w:val="000000"/>
        </w:rPr>
        <w:t xml:space="preserve"> in over two centuries</w:t>
      </w:r>
      <w:r w:rsidR="00D056D7" w:rsidRPr="00F678D8">
        <w:rPr>
          <w:color w:val="000000"/>
        </w:rPr>
        <w:t>.</w:t>
      </w:r>
    </w:p>
    <w:p w:rsidR="006446B0" w:rsidRPr="00F678D8" w:rsidRDefault="006446B0"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C62E87" w:rsidRDefault="00930C14"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r w:rsidRPr="00F678D8">
        <w:t>Many tribes have used revenue from Indian gaming</w:t>
      </w:r>
      <w:r>
        <w:t xml:space="preserve"> to put a new face on their communities.  </w:t>
      </w:r>
      <w:r w:rsidR="00036E07" w:rsidRPr="00880AA4">
        <w:rPr>
          <w:bCs/>
        </w:rPr>
        <w:t xml:space="preserve">Indian tribes have </w:t>
      </w:r>
      <w:r>
        <w:rPr>
          <w:bCs/>
        </w:rPr>
        <w:t>dedicated</w:t>
      </w:r>
      <w:r w:rsidR="00036E07" w:rsidRPr="00880AA4">
        <w:rPr>
          <w:bCs/>
        </w:rPr>
        <w:t xml:space="preserve"> gaming revenues to improve basic health, education, and public safety services on Indian lands.  We have used gaming dollars to improve tribal infrastructure, including the construction of roads, hospitals, schools, police buildings, water projects, and many others. </w:t>
      </w:r>
    </w:p>
    <w:p w:rsidR="00680EC2" w:rsidRDefault="00680EC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i/>
        </w:rPr>
      </w:pPr>
    </w:p>
    <w:p w:rsidR="002075EF" w:rsidRPr="00680EC2" w:rsidRDefault="00680EC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rPr>
      </w:pPr>
      <w:r>
        <w:rPr>
          <w:bCs/>
          <w:i/>
        </w:rPr>
        <w:tab/>
      </w:r>
      <w:r>
        <w:rPr>
          <w:b/>
          <w:bCs/>
          <w:i/>
        </w:rPr>
        <w:t>Indian Gaming and Job Creation</w:t>
      </w:r>
    </w:p>
    <w:p w:rsidR="00930C14" w:rsidRPr="00930C14" w:rsidRDefault="00930C14"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p>
    <w:p w:rsidR="00C62E87" w:rsidRDefault="00C62E8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sidRPr="00C3621E">
        <w:rPr>
          <w:bCs/>
        </w:rPr>
        <w:t xml:space="preserve">For many tribes, Indian gaming is first and foremost about jobs. </w:t>
      </w:r>
      <w:r>
        <w:rPr>
          <w:bCs/>
        </w:rPr>
        <w:t xml:space="preserve"> </w:t>
      </w:r>
      <w:r w:rsidR="00523805">
        <w:rPr>
          <w:color w:val="000000"/>
        </w:rPr>
        <w:t>While Indian gaming has provided a significant source of revenue for some</w:t>
      </w:r>
      <w:r>
        <w:rPr>
          <w:color w:val="000000"/>
        </w:rPr>
        <w:t xml:space="preserve"> tribal governments</w:t>
      </w:r>
      <w:r w:rsidR="00523805">
        <w:rPr>
          <w:color w:val="000000"/>
        </w:rPr>
        <w:t>, many tribes engaged in Indian gaming</w:t>
      </w:r>
      <w:r>
        <w:rPr>
          <w:color w:val="000000"/>
        </w:rPr>
        <w:t xml:space="preserve"> continue to face significant unmet needs in their communities.  </w:t>
      </w:r>
      <w:r w:rsidR="00523805">
        <w:rPr>
          <w:color w:val="000000"/>
        </w:rPr>
        <w:t xml:space="preserve">For these communities, </w:t>
      </w:r>
      <w:r>
        <w:rPr>
          <w:color w:val="000000"/>
        </w:rPr>
        <w:t xml:space="preserve">Indian gaming and its </w:t>
      </w:r>
      <w:r w:rsidR="00CF0F4B">
        <w:rPr>
          <w:color w:val="000000"/>
        </w:rPr>
        <w:t xml:space="preserve">related activities </w:t>
      </w:r>
      <w:r w:rsidR="00523805">
        <w:rPr>
          <w:color w:val="000000"/>
        </w:rPr>
        <w:t>have brought</w:t>
      </w:r>
      <w:r w:rsidR="00CF0F4B">
        <w:rPr>
          <w:color w:val="000000"/>
        </w:rPr>
        <w:t xml:space="preserve"> the opportunity for employment </w:t>
      </w:r>
      <w:r w:rsidR="00523805">
        <w:rPr>
          <w:color w:val="000000"/>
        </w:rPr>
        <w:t>to</w:t>
      </w:r>
      <w:r>
        <w:rPr>
          <w:color w:val="000000"/>
        </w:rPr>
        <w:t xml:space="preserve"> </w:t>
      </w:r>
      <w:r w:rsidR="00523805">
        <w:rPr>
          <w:color w:val="000000"/>
        </w:rPr>
        <w:t>Indian lands</w:t>
      </w:r>
      <w:r w:rsidR="00CF0F4B">
        <w:rPr>
          <w:color w:val="000000"/>
        </w:rPr>
        <w:t xml:space="preserve"> that have been without such opportunity </w:t>
      </w:r>
      <w:r>
        <w:rPr>
          <w:color w:val="000000"/>
        </w:rPr>
        <w:t xml:space="preserve">in recent memory.  </w:t>
      </w:r>
    </w:p>
    <w:p w:rsidR="00C62E87" w:rsidRDefault="00C62E8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p>
    <w:p w:rsidR="00C3621E" w:rsidRPr="00966632" w:rsidRDefault="00C3621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FF0000"/>
        </w:rPr>
      </w:pPr>
      <w:r w:rsidRPr="00C3621E">
        <w:rPr>
          <w:rFonts w:cs="Helvetica"/>
          <w:szCs w:val="32"/>
        </w:rPr>
        <w:t xml:space="preserve">I </w:t>
      </w:r>
      <w:r>
        <w:rPr>
          <w:rFonts w:cs="Helvetica"/>
          <w:szCs w:val="32"/>
        </w:rPr>
        <w:t>went to</w:t>
      </w:r>
      <w:r w:rsidRPr="00C3621E">
        <w:rPr>
          <w:rFonts w:cs="Helvetica"/>
          <w:szCs w:val="32"/>
        </w:rPr>
        <w:t xml:space="preserve"> college </w:t>
      </w:r>
      <w:r>
        <w:rPr>
          <w:rFonts w:cs="Helvetica"/>
          <w:szCs w:val="32"/>
        </w:rPr>
        <w:t xml:space="preserve">at Haskell University </w:t>
      </w:r>
      <w:r w:rsidR="00177785">
        <w:rPr>
          <w:rFonts w:cs="Helvetica"/>
          <w:szCs w:val="32"/>
        </w:rPr>
        <w:t xml:space="preserve">in the early 1980s </w:t>
      </w:r>
      <w:r>
        <w:rPr>
          <w:rFonts w:cs="Helvetica"/>
          <w:szCs w:val="32"/>
        </w:rPr>
        <w:t xml:space="preserve">in part </w:t>
      </w:r>
      <w:r w:rsidRPr="00C3621E">
        <w:rPr>
          <w:rFonts w:cs="Helvetica"/>
          <w:szCs w:val="32"/>
        </w:rPr>
        <w:t xml:space="preserve">because I could </w:t>
      </w:r>
      <w:r>
        <w:rPr>
          <w:rFonts w:cs="Helvetica"/>
          <w:szCs w:val="32"/>
        </w:rPr>
        <w:t>not find a job, not even on my R</w:t>
      </w:r>
      <w:r w:rsidRPr="00C3621E">
        <w:rPr>
          <w:rFonts w:cs="Helvetica"/>
          <w:szCs w:val="32"/>
        </w:rPr>
        <w:t xml:space="preserve">eservation. As </w:t>
      </w:r>
      <w:r w:rsidR="00CF0F4B">
        <w:rPr>
          <w:rFonts w:cs="Helvetica"/>
          <w:szCs w:val="32"/>
        </w:rPr>
        <w:t xml:space="preserve">Indian </w:t>
      </w:r>
      <w:r w:rsidRPr="00C3621E">
        <w:rPr>
          <w:rFonts w:cs="Helvetica"/>
          <w:szCs w:val="32"/>
        </w:rPr>
        <w:t>gaming started to evolve I finished my educ</w:t>
      </w:r>
      <w:r w:rsidR="00383659">
        <w:rPr>
          <w:rFonts w:cs="Helvetica"/>
          <w:szCs w:val="32"/>
        </w:rPr>
        <w:t xml:space="preserve">ation and made my way back home.  </w:t>
      </w:r>
      <w:r w:rsidR="00383659" w:rsidRPr="00006633">
        <w:rPr>
          <w:rFonts w:cs="Helvetica"/>
          <w:szCs w:val="32"/>
        </w:rPr>
        <w:t>I was elected to the Tribal Council</w:t>
      </w:r>
      <w:r w:rsidR="00966632" w:rsidRPr="00006633">
        <w:rPr>
          <w:rFonts w:cs="Helvetica"/>
          <w:szCs w:val="32"/>
        </w:rPr>
        <w:t xml:space="preserve"> in 1993, as gaming was really getting underway for our Tribe. With the success of our Gaming operation</w:t>
      </w:r>
      <w:r w:rsidRPr="00006633">
        <w:rPr>
          <w:rFonts w:cs="Helvetica"/>
          <w:szCs w:val="32"/>
        </w:rPr>
        <w:t xml:space="preserve"> we </w:t>
      </w:r>
      <w:r w:rsidR="00966632" w:rsidRPr="00006633">
        <w:rPr>
          <w:rFonts w:cs="Helvetica"/>
          <w:szCs w:val="32"/>
        </w:rPr>
        <w:t xml:space="preserve">had an employment base of 3,800 </w:t>
      </w:r>
      <w:r w:rsidR="00006633" w:rsidRPr="00006633">
        <w:rPr>
          <w:rFonts w:cs="Helvetica"/>
          <w:szCs w:val="32"/>
        </w:rPr>
        <w:t xml:space="preserve">people. We were the </w:t>
      </w:r>
      <w:r w:rsidRPr="00006633">
        <w:rPr>
          <w:rFonts w:cs="Helvetica"/>
          <w:szCs w:val="32"/>
        </w:rPr>
        <w:t>top employer in northe</w:t>
      </w:r>
      <w:r w:rsidR="0035291F" w:rsidRPr="00006633">
        <w:rPr>
          <w:rFonts w:cs="Helvetica"/>
          <w:szCs w:val="32"/>
        </w:rPr>
        <w:t>astern Wisconsin. Not only did Indian gaming</w:t>
      </w:r>
      <w:r w:rsidRPr="00006633">
        <w:rPr>
          <w:rFonts w:cs="Helvetica"/>
          <w:szCs w:val="32"/>
        </w:rPr>
        <w:t xml:space="preserve"> find work for a lot of Indian people </w:t>
      </w:r>
      <w:r w:rsidR="0035291F" w:rsidRPr="00006633">
        <w:rPr>
          <w:rFonts w:cs="Helvetica"/>
          <w:szCs w:val="32"/>
        </w:rPr>
        <w:t>in my neighborhood, but we also</w:t>
      </w:r>
      <w:r w:rsidRPr="00006633">
        <w:rPr>
          <w:rFonts w:cs="Helvetica"/>
          <w:szCs w:val="32"/>
        </w:rPr>
        <w:t xml:space="preserve"> found work for a lot of non-Indian peop</w:t>
      </w:r>
      <w:r w:rsidR="00E60AF3">
        <w:rPr>
          <w:rFonts w:cs="Helvetica"/>
          <w:szCs w:val="32"/>
        </w:rPr>
        <w:t>le who came and worked for the T</w:t>
      </w:r>
      <w:r w:rsidRPr="00006633">
        <w:rPr>
          <w:rFonts w:cs="Helvetica"/>
          <w:szCs w:val="32"/>
        </w:rPr>
        <w:t>ribe</w:t>
      </w:r>
      <w:r w:rsidR="00966632" w:rsidRPr="00006633">
        <w:rPr>
          <w:rFonts w:cs="Helvetica"/>
          <w:szCs w:val="32"/>
        </w:rPr>
        <w:t xml:space="preserve"> as half of our employees were non-Indian</w:t>
      </w:r>
      <w:r w:rsidRPr="00006633">
        <w:rPr>
          <w:rFonts w:cs="Helvetica"/>
          <w:szCs w:val="32"/>
        </w:rPr>
        <w:t>.</w:t>
      </w:r>
      <w:r w:rsidRPr="00966632">
        <w:rPr>
          <w:rFonts w:cs="Helvetica"/>
          <w:color w:val="FF0000"/>
          <w:szCs w:val="32"/>
        </w:rPr>
        <w:t xml:space="preserve"> </w:t>
      </w:r>
      <w:r w:rsidR="00523805" w:rsidRPr="00966632">
        <w:rPr>
          <w:rFonts w:cs="Helvetica"/>
          <w:color w:val="FF0000"/>
          <w:szCs w:val="32"/>
        </w:rPr>
        <w:t xml:space="preserve"> </w:t>
      </w:r>
    </w:p>
    <w:p w:rsidR="00C3621E" w:rsidRPr="00966632" w:rsidRDefault="00C3621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FF0000"/>
        </w:rPr>
      </w:pPr>
    </w:p>
    <w:p w:rsidR="00F201C9" w:rsidRPr="00352048" w:rsidRDefault="003529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Pr>
          <w:bCs/>
        </w:rPr>
        <w:t xml:space="preserve">Nationwide, </w:t>
      </w:r>
      <w:r w:rsidR="00930C14" w:rsidRPr="00C3621E">
        <w:rPr>
          <w:bCs/>
        </w:rPr>
        <w:t xml:space="preserve">Indian </w:t>
      </w:r>
      <w:r w:rsidR="00930C14" w:rsidRPr="00930C14">
        <w:rPr>
          <w:bCs/>
        </w:rPr>
        <w:t xml:space="preserve">gaming is a </w:t>
      </w:r>
      <w:r w:rsidR="00CF0F4B">
        <w:rPr>
          <w:bCs/>
        </w:rPr>
        <w:t>proven job creator.  Indian gaming delivered</w:t>
      </w:r>
      <w:r w:rsidR="00036E07" w:rsidRPr="00930C14">
        <w:rPr>
          <w:bCs/>
        </w:rPr>
        <w:t xml:space="preserve"> </w:t>
      </w:r>
      <w:r w:rsidR="00150D53" w:rsidRPr="00930C14">
        <w:rPr>
          <w:bCs/>
        </w:rPr>
        <w:t>over 6</w:t>
      </w:r>
      <w:r w:rsidR="00E13EDB">
        <w:rPr>
          <w:bCs/>
        </w:rPr>
        <w:t>6</w:t>
      </w:r>
      <w:r w:rsidR="00F678D8">
        <w:rPr>
          <w:bCs/>
        </w:rPr>
        <w:t>5</w:t>
      </w:r>
      <w:r w:rsidR="00036E07" w:rsidRPr="00930C14">
        <w:rPr>
          <w:bCs/>
        </w:rPr>
        <w:t>,000 direct and indirect American jobs</w:t>
      </w:r>
      <w:r w:rsidR="00993DA5">
        <w:rPr>
          <w:bCs/>
        </w:rPr>
        <w:t xml:space="preserve"> in 2013</w:t>
      </w:r>
      <w:r>
        <w:rPr>
          <w:bCs/>
        </w:rPr>
        <w:t xml:space="preserve"> alone</w:t>
      </w:r>
      <w:r w:rsidR="00036E07" w:rsidRPr="00930C14">
        <w:rPr>
          <w:bCs/>
        </w:rPr>
        <w:t xml:space="preserve">. </w:t>
      </w:r>
      <w:r w:rsidR="00930C14">
        <w:rPr>
          <w:bCs/>
        </w:rPr>
        <w:t>Indian gaming has provided</w:t>
      </w:r>
      <w:r w:rsidR="00930C14" w:rsidRPr="00930C14">
        <w:rPr>
          <w:szCs w:val="36"/>
        </w:rPr>
        <w:t xml:space="preserve"> </w:t>
      </w:r>
      <w:r w:rsidR="00CF0F4B">
        <w:rPr>
          <w:szCs w:val="36"/>
        </w:rPr>
        <w:t>many Native Americans</w:t>
      </w:r>
      <w:r w:rsidR="00930C14" w:rsidRPr="00930C14">
        <w:rPr>
          <w:szCs w:val="36"/>
        </w:rPr>
        <w:t xml:space="preserve"> with </w:t>
      </w:r>
      <w:r w:rsidR="00930C14">
        <w:rPr>
          <w:szCs w:val="36"/>
        </w:rPr>
        <w:t>their first opportunity at work</w:t>
      </w:r>
      <w:r w:rsidR="00CF0F4B">
        <w:rPr>
          <w:szCs w:val="36"/>
        </w:rPr>
        <w:t xml:space="preserve"> at home on the reservation</w:t>
      </w:r>
      <w:r w:rsidR="00930C14">
        <w:rPr>
          <w:szCs w:val="36"/>
        </w:rPr>
        <w:t>.  Just as</w:t>
      </w:r>
      <w:r w:rsidR="00930C14" w:rsidRPr="00930C14">
        <w:rPr>
          <w:szCs w:val="36"/>
        </w:rPr>
        <w:t xml:space="preserve"> importantly</w:t>
      </w:r>
      <w:r w:rsidR="00CF0F4B">
        <w:rPr>
          <w:szCs w:val="36"/>
        </w:rPr>
        <w:t>,</w:t>
      </w:r>
      <w:r w:rsidR="00930C14" w:rsidRPr="00930C14">
        <w:rPr>
          <w:szCs w:val="36"/>
        </w:rPr>
        <w:t xml:space="preserve"> </w:t>
      </w:r>
      <w:r w:rsidR="00154AD1">
        <w:rPr>
          <w:szCs w:val="36"/>
        </w:rPr>
        <w:t xml:space="preserve">jobs on the reservation generated by </w:t>
      </w:r>
      <w:r w:rsidR="00930C14">
        <w:rPr>
          <w:szCs w:val="36"/>
        </w:rPr>
        <w:t xml:space="preserve">Indian gaming </w:t>
      </w:r>
      <w:r w:rsidR="00154AD1">
        <w:rPr>
          <w:szCs w:val="36"/>
        </w:rPr>
        <w:t>are</w:t>
      </w:r>
      <w:r w:rsidR="00930C14" w:rsidRPr="00930C14">
        <w:rPr>
          <w:szCs w:val="36"/>
        </w:rPr>
        <w:t xml:space="preserve"> bringing </w:t>
      </w:r>
      <w:r w:rsidR="00154AD1">
        <w:rPr>
          <w:szCs w:val="36"/>
        </w:rPr>
        <w:t xml:space="preserve">back </w:t>
      </w:r>
      <w:r w:rsidR="00930C14" w:rsidRPr="00930C14">
        <w:rPr>
          <w:szCs w:val="36"/>
        </w:rPr>
        <w:t>entire families</w:t>
      </w:r>
      <w:r w:rsidR="00CF0F4B">
        <w:rPr>
          <w:szCs w:val="36"/>
        </w:rPr>
        <w:t xml:space="preserve"> that </w:t>
      </w:r>
      <w:r w:rsidR="00154AD1">
        <w:rPr>
          <w:szCs w:val="36"/>
        </w:rPr>
        <w:t xml:space="preserve">had </w:t>
      </w:r>
      <w:r w:rsidR="00CF0F4B">
        <w:rPr>
          <w:szCs w:val="36"/>
        </w:rPr>
        <w:t>moved away</w:t>
      </w:r>
      <w:r w:rsidR="00930C14" w:rsidRPr="00930C14">
        <w:rPr>
          <w:szCs w:val="36"/>
        </w:rPr>
        <w:t>.  Because of Indian gaming, reservations are again becoming livable hom</w:t>
      </w:r>
      <w:r w:rsidR="00154AD1">
        <w:rPr>
          <w:szCs w:val="36"/>
        </w:rPr>
        <w:t>esteads</w:t>
      </w:r>
      <w:r w:rsidR="00930C14" w:rsidRPr="00930C14">
        <w:rPr>
          <w:szCs w:val="36"/>
        </w:rPr>
        <w:t xml:space="preserve">, as promised in hundreds of treaties.  </w:t>
      </w:r>
      <w:r w:rsidR="00CF0F4B">
        <w:rPr>
          <w:bCs/>
        </w:rPr>
        <w:t>As I noted above, t</w:t>
      </w:r>
      <w:r w:rsidR="00036E07" w:rsidRPr="00930C14">
        <w:rPr>
          <w:bCs/>
        </w:rPr>
        <w:t xml:space="preserve">hese </w:t>
      </w:r>
      <w:r w:rsidR="00930C14">
        <w:rPr>
          <w:bCs/>
        </w:rPr>
        <w:t xml:space="preserve">American </w:t>
      </w:r>
      <w:r w:rsidR="00036E07" w:rsidRPr="00930C14">
        <w:rPr>
          <w:bCs/>
        </w:rPr>
        <w:t>jobs go to both Indian</w:t>
      </w:r>
      <w:r w:rsidR="00CF0F4B">
        <w:rPr>
          <w:bCs/>
        </w:rPr>
        <w:t>s</w:t>
      </w:r>
      <w:r w:rsidR="00036E07" w:rsidRPr="00930C14">
        <w:rPr>
          <w:bCs/>
        </w:rPr>
        <w:t xml:space="preserve"> and non-Indian</w:t>
      </w:r>
      <w:r w:rsidR="00CF0F4B">
        <w:rPr>
          <w:bCs/>
        </w:rPr>
        <w:t>s</w:t>
      </w:r>
      <w:r w:rsidR="00036E07" w:rsidRPr="00930C14">
        <w:rPr>
          <w:bCs/>
        </w:rPr>
        <w:t xml:space="preserve"> alike. </w:t>
      </w:r>
      <w:r w:rsidR="00383659">
        <w:rPr>
          <w:bCs/>
        </w:rPr>
        <w:t xml:space="preserve"> Throughout the Recession, </w:t>
      </w:r>
      <w:r w:rsidR="00383659">
        <w:rPr>
          <w:rFonts w:cs="Helvetica"/>
          <w:szCs w:val="32"/>
        </w:rPr>
        <w:t xml:space="preserve">Indian gaming continued to </w:t>
      </w:r>
      <w:r w:rsidR="00CF0F4B">
        <w:rPr>
          <w:rFonts w:cs="Helvetica"/>
          <w:szCs w:val="32"/>
        </w:rPr>
        <w:t>create</w:t>
      </w:r>
      <w:r w:rsidR="00383659">
        <w:rPr>
          <w:rFonts w:cs="Helvetica"/>
          <w:szCs w:val="32"/>
        </w:rPr>
        <w:t xml:space="preserve"> jobs and keep</w:t>
      </w:r>
      <w:r w:rsidR="00D056D7" w:rsidRPr="00C3621E">
        <w:rPr>
          <w:rFonts w:cs="Helvetica"/>
          <w:szCs w:val="32"/>
        </w:rPr>
        <w:t xml:space="preserve"> </w:t>
      </w:r>
      <w:r w:rsidR="00D056D7" w:rsidRPr="00352048">
        <w:rPr>
          <w:rFonts w:cs="Helvetica"/>
          <w:szCs w:val="32"/>
        </w:rPr>
        <w:t xml:space="preserve">people employed in one of the toughest times in American history. </w:t>
      </w:r>
      <w:r w:rsidR="00383659" w:rsidRPr="00352048">
        <w:rPr>
          <w:bCs/>
        </w:rPr>
        <w:t>Without question, we are putting people to work.</w:t>
      </w:r>
    </w:p>
    <w:p w:rsidR="00342CA8" w:rsidRPr="00352048" w:rsidRDefault="00342CA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523805" w:rsidRDefault="00383659"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Verdana"/>
          <w:szCs w:val="28"/>
        </w:rPr>
      </w:pPr>
      <w:r w:rsidRPr="00352048">
        <w:t>Of course, far too</w:t>
      </w:r>
      <w:r w:rsidR="006446B0" w:rsidRPr="00352048">
        <w:t xml:space="preserve"> many tribal communities continue to suffer the devastating </w:t>
      </w:r>
      <w:r w:rsidRPr="00352048">
        <w:t>impacts</w:t>
      </w:r>
      <w:r w:rsidR="006446B0" w:rsidRPr="00352048">
        <w:t xml:space="preserve"> of the</w:t>
      </w:r>
      <w:r w:rsidR="00E425DC" w:rsidRPr="00352048">
        <w:t xml:space="preserve"> past failed federal policies</w:t>
      </w:r>
      <w:r w:rsidR="00342CA8" w:rsidRPr="00352048">
        <w:t>.</w:t>
      </w:r>
      <w:r w:rsidR="00E425DC" w:rsidRPr="00352048">
        <w:t xml:space="preserve"> </w:t>
      </w:r>
      <w:r w:rsidR="00342CA8" w:rsidRPr="00352048">
        <w:t>Too many of our people continue to live with disease and poverty.  Indian health care is substandard, violent crime is multiple times the national average, and unemployment on Indian reservations nationwide averages 50%</w:t>
      </w:r>
      <w:r w:rsidR="00181F3B" w:rsidRPr="00352048">
        <w:t xml:space="preserve">. </w:t>
      </w:r>
      <w:r w:rsidR="00352048" w:rsidRPr="00352048">
        <w:t xml:space="preserve"> Our </w:t>
      </w:r>
      <w:r w:rsidR="00352048" w:rsidRPr="00352048">
        <w:rPr>
          <w:rFonts w:cs="Verdana"/>
          <w:szCs w:val="28"/>
        </w:rPr>
        <w:t xml:space="preserve">Native youth are the most at-risk population in the United States, confronting disparities in education, health, and safety. Thirty-seven percent of Native youth live in poverty.  </w:t>
      </w:r>
      <w:r w:rsidR="00352048" w:rsidRPr="00352048">
        <w:rPr>
          <w:rFonts w:cs="Times"/>
          <w:szCs w:val="16"/>
        </w:rPr>
        <w:t xml:space="preserve">Native youth </w:t>
      </w:r>
      <w:r w:rsidR="00352048" w:rsidRPr="00352048">
        <w:rPr>
          <w:rFonts w:cs="Verdana"/>
          <w:szCs w:val="28"/>
        </w:rPr>
        <w:t xml:space="preserve">suffer suicide at a rate 2.5 times the national average.  </w:t>
      </w:r>
      <w:r w:rsidR="00352048" w:rsidRPr="00352048">
        <w:rPr>
          <w:rFonts w:cs="Times"/>
          <w:szCs w:val="16"/>
        </w:rPr>
        <w:t xml:space="preserve">Fifty-eight </w:t>
      </w:r>
      <w:r w:rsidR="00352048" w:rsidRPr="00352048">
        <w:rPr>
          <w:rFonts w:cs="Verdana"/>
          <w:szCs w:val="28"/>
        </w:rPr>
        <w:t xml:space="preserve">percent of 3- and 4-year-old Native children do not attend any form of preschool.  The graduation rate for Native high school students </w:t>
      </w:r>
      <w:r w:rsidR="00154AD1">
        <w:rPr>
          <w:rFonts w:cs="Verdana"/>
          <w:szCs w:val="28"/>
        </w:rPr>
        <w:t xml:space="preserve">is </w:t>
      </w:r>
      <w:r w:rsidR="00352048" w:rsidRPr="00352048">
        <w:rPr>
          <w:rFonts w:cs="Verdana"/>
          <w:szCs w:val="28"/>
        </w:rPr>
        <w:t xml:space="preserve">50 percent.  </w:t>
      </w:r>
    </w:p>
    <w:p w:rsidR="00006633" w:rsidRDefault="00006633"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Verdana"/>
          <w:szCs w:val="28"/>
        </w:rPr>
      </w:pPr>
    </w:p>
    <w:p w:rsidR="00523805" w:rsidRDefault="0052380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Verdana"/>
          <w:szCs w:val="28"/>
        </w:rPr>
      </w:pPr>
    </w:p>
    <w:p w:rsidR="003E200F" w:rsidRPr="00352048" w:rsidRDefault="0035204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cs="Verdana"/>
          <w:szCs w:val="28"/>
        </w:rPr>
        <w:lastRenderedPageBreak/>
        <w:t>Indian gamin</w:t>
      </w:r>
      <w:r w:rsidR="00EE58C7">
        <w:rPr>
          <w:rFonts w:cs="Verdana"/>
          <w:szCs w:val="28"/>
        </w:rPr>
        <w:t xml:space="preserve">g is part of the answer, but all of us—tribal leaders, mentors, federal agencies, and Congress—can and </w:t>
      </w:r>
      <w:r>
        <w:rPr>
          <w:rFonts w:cs="Verdana"/>
          <w:szCs w:val="28"/>
        </w:rPr>
        <w:t xml:space="preserve">must do more to </w:t>
      </w:r>
      <w:r w:rsidR="00EE58C7">
        <w:rPr>
          <w:rFonts w:cs="Verdana"/>
          <w:szCs w:val="28"/>
        </w:rPr>
        <w:t>reverse these horrific statistics and establish more opportu</w:t>
      </w:r>
      <w:r w:rsidR="00CF0F4B">
        <w:rPr>
          <w:rFonts w:cs="Verdana"/>
          <w:szCs w:val="28"/>
        </w:rPr>
        <w:t>nities for all resident</w:t>
      </w:r>
      <w:r w:rsidR="00523805">
        <w:rPr>
          <w:rFonts w:cs="Verdana"/>
          <w:szCs w:val="28"/>
        </w:rPr>
        <w:t>s</w:t>
      </w:r>
      <w:r w:rsidR="00CF0F4B">
        <w:rPr>
          <w:rFonts w:cs="Verdana"/>
          <w:szCs w:val="28"/>
        </w:rPr>
        <w:t xml:space="preserve"> of Indian Country</w:t>
      </w:r>
      <w:r>
        <w:rPr>
          <w:rFonts w:cs="Verdana"/>
          <w:szCs w:val="28"/>
        </w:rPr>
        <w:t xml:space="preserve">.  </w:t>
      </w:r>
    </w:p>
    <w:p w:rsidR="00361609" w:rsidRPr="00352048" w:rsidRDefault="00361609"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361609" w:rsidRPr="00352048" w:rsidRDefault="00361609"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sidRPr="00352048">
        <w:rPr>
          <w:color w:val="000000"/>
        </w:rPr>
        <w:tab/>
      </w:r>
      <w:r w:rsidR="00352048">
        <w:rPr>
          <w:b/>
          <w:i/>
          <w:color w:val="000000"/>
        </w:rPr>
        <w:t>Expanding the Reach of Indian Gaming’s Benefits</w:t>
      </w:r>
    </w:p>
    <w:p w:rsidR="00342CA8" w:rsidRPr="00342CA8" w:rsidRDefault="00342CA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342CA8" w:rsidRPr="00361609" w:rsidRDefault="00342CA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361609">
        <w:rPr>
          <w:color w:val="000000"/>
        </w:rPr>
        <w:t xml:space="preserve">To broaden the economic success of Indian gaming, </w:t>
      </w:r>
      <w:r w:rsidR="00DB2111" w:rsidRPr="00361609">
        <w:rPr>
          <w:color w:val="000000"/>
        </w:rPr>
        <w:t xml:space="preserve">NIGA is working </w:t>
      </w:r>
      <w:r w:rsidR="00181F3B" w:rsidRPr="00361609">
        <w:rPr>
          <w:szCs w:val="36"/>
        </w:rPr>
        <w:t>with our Member T</w:t>
      </w:r>
      <w:r w:rsidR="00345612" w:rsidRPr="00361609">
        <w:rPr>
          <w:szCs w:val="36"/>
        </w:rPr>
        <w:t>ribes to further encourage tr</w:t>
      </w:r>
      <w:r w:rsidRPr="00361609">
        <w:rPr>
          <w:szCs w:val="36"/>
        </w:rPr>
        <w:t>ibe-to-tribe giving and lending.  T</w:t>
      </w:r>
      <w:r w:rsidR="00345612" w:rsidRPr="00361609">
        <w:rPr>
          <w:szCs w:val="36"/>
        </w:rPr>
        <w:t>hrough our A</w:t>
      </w:r>
      <w:r w:rsidRPr="00361609">
        <w:rPr>
          <w:szCs w:val="36"/>
        </w:rPr>
        <w:t>merican Indian Business Network,</w:t>
      </w:r>
      <w:r w:rsidR="00345612" w:rsidRPr="00361609">
        <w:rPr>
          <w:szCs w:val="36"/>
        </w:rPr>
        <w:t xml:space="preserve"> we work to highlight the benefits of hiring Native owned businesses and procurement of Native produced goods and services.  </w:t>
      </w:r>
      <w:r w:rsidR="00181F3B" w:rsidRPr="00361609">
        <w:rPr>
          <w:szCs w:val="36"/>
        </w:rPr>
        <w:t>E</w:t>
      </w:r>
      <w:r w:rsidRPr="00361609">
        <w:rPr>
          <w:szCs w:val="36"/>
        </w:rPr>
        <w:t xml:space="preserve">mpowering tribal entrepreneurs and tribal government owned businesses, </w:t>
      </w:r>
      <w:r w:rsidR="00181F3B" w:rsidRPr="00361609">
        <w:rPr>
          <w:szCs w:val="36"/>
        </w:rPr>
        <w:t>will serve to further diversify and strengthen tribal economies.</w:t>
      </w:r>
    </w:p>
    <w:p w:rsidR="007066B1" w:rsidRPr="0035291F" w:rsidRDefault="0052380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NIGA </w:t>
      </w:r>
      <w:r w:rsidR="00CF0E35" w:rsidRPr="0035291F">
        <w:t>applaud</w:t>
      </w:r>
      <w:r>
        <w:t>s</w:t>
      </w:r>
      <w:r w:rsidR="00CF0E35" w:rsidRPr="0035291F">
        <w:t xml:space="preserve"> the </w:t>
      </w:r>
      <w:r w:rsidR="00043532">
        <w:t xml:space="preserve">Administration’s efforts to strengthen implementation of the Buy Indian Act </w:t>
      </w:r>
      <w:r>
        <w:t>by targeting</w:t>
      </w:r>
      <w:r w:rsidR="007066B1" w:rsidRPr="0035291F">
        <w:t xml:space="preserve"> qualified tribal government-owned and individual Indian-owned businesses </w:t>
      </w:r>
      <w:r>
        <w:t>in the federal procurement process</w:t>
      </w:r>
      <w:r w:rsidR="007066B1" w:rsidRPr="0035291F">
        <w:t>.</w:t>
      </w:r>
      <w:r w:rsidR="002218CB" w:rsidRPr="0035291F">
        <w:t xml:space="preserve">  These efforts fully comport with the stated goals of </w:t>
      </w:r>
      <w:r w:rsidR="00B67219">
        <w:t xml:space="preserve">Indian </w:t>
      </w:r>
      <w:r w:rsidR="00043532">
        <w:t xml:space="preserve">self </w:t>
      </w:r>
      <w:r w:rsidR="00B67219">
        <w:t>-</w:t>
      </w:r>
      <w:r w:rsidR="00043532">
        <w:t xml:space="preserve">determination and the government’s treaty and trust obligations to Indian Country.  </w:t>
      </w:r>
    </w:p>
    <w:p w:rsidR="00352048" w:rsidRPr="003B1B1B" w:rsidRDefault="0035204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CF0F4B" w:rsidRDefault="0035204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3B1B1B">
        <w:rPr>
          <w:color w:val="000000"/>
        </w:rPr>
        <w:t xml:space="preserve">Indian gaming </w:t>
      </w:r>
      <w:r w:rsidR="00523805">
        <w:rPr>
          <w:color w:val="000000"/>
        </w:rPr>
        <w:t>operations offer</w:t>
      </w:r>
      <w:r w:rsidRPr="003B1B1B">
        <w:rPr>
          <w:color w:val="000000"/>
        </w:rPr>
        <w:t xml:space="preserve"> an anchor to </w:t>
      </w:r>
      <w:r w:rsidR="00523805">
        <w:rPr>
          <w:color w:val="000000"/>
        </w:rPr>
        <w:t xml:space="preserve">reservation </w:t>
      </w:r>
      <w:r w:rsidRPr="003B1B1B">
        <w:rPr>
          <w:color w:val="000000"/>
        </w:rPr>
        <w:t xml:space="preserve">economic development </w:t>
      </w:r>
      <w:r w:rsidR="00523805">
        <w:rPr>
          <w:color w:val="000000"/>
        </w:rPr>
        <w:t>for</w:t>
      </w:r>
      <w:r w:rsidRPr="003B1B1B">
        <w:rPr>
          <w:color w:val="000000"/>
        </w:rPr>
        <w:t xml:space="preserve"> 225 Native Nations, but </w:t>
      </w:r>
      <w:r w:rsidR="00EE58C7">
        <w:rPr>
          <w:color w:val="000000"/>
        </w:rPr>
        <w:t>tribal governments</w:t>
      </w:r>
      <w:r w:rsidRPr="003B1B1B">
        <w:rPr>
          <w:color w:val="000000"/>
        </w:rPr>
        <w:t xml:space="preserve"> need help to </w:t>
      </w:r>
      <w:r w:rsidR="003B1B1B" w:rsidRPr="003B1B1B">
        <w:rPr>
          <w:color w:val="000000"/>
        </w:rPr>
        <w:t xml:space="preserve">fulfill Indian Country’s full potential. </w:t>
      </w:r>
      <w:r w:rsidR="00CF0F4B">
        <w:rPr>
          <w:color w:val="000000"/>
        </w:rPr>
        <w:t xml:space="preserve"> That help must come from the federal government in the form of infrastructure development, tax incentives, consistent and strong base funding levels to meet treaty and trust obligations to help tribal governments provide basic services to our citizens, and more.  </w:t>
      </w:r>
    </w:p>
    <w:p w:rsidR="00CF0F4B" w:rsidRDefault="00CF0F4B"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0418E6" w:rsidRDefault="00CF0F4B"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rFonts w:cs="Helvetica"/>
          <w:szCs w:val="32"/>
        </w:rPr>
        <w:t xml:space="preserve">For decades, the primary barrier to tribal economic development has been the </w:t>
      </w:r>
      <w:r w:rsidR="00006633">
        <w:rPr>
          <w:rFonts w:cs="Helvetica"/>
          <w:szCs w:val="32"/>
        </w:rPr>
        <w:t xml:space="preserve">lack of </w:t>
      </w:r>
      <w:r w:rsidR="00F53190" w:rsidRPr="000418E6">
        <w:rPr>
          <w:rFonts w:cs="Helvetica"/>
          <w:szCs w:val="32"/>
        </w:rPr>
        <w:t xml:space="preserve">basic infrastructure for </w:t>
      </w:r>
      <w:r w:rsidR="003B1B1B" w:rsidRPr="000418E6">
        <w:rPr>
          <w:rFonts w:cs="Helvetica"/>
          <w:szCs w:val="32"/>
        </w:rPr>
        <w:t>water, road</w:t>
      </w:r>
      <w:r w:rsidR="00F53190" w:rsidRPr="000418E6">
        <w:rPr>
          <w:rFonts w:cs="Helvetica"/>
          <w:szCs w:val="32"/>
        </w:rPr>
        <w:t>s, and sewer services</w:t>
      </w:r>
      <w:r w:rsidR="00523805">
        <w:rPr>
          <w:rFonts w:cs="Helvetica"/>
          <w:szCs w:val="32"/>
        </w:rPr>
        <w:t xml:space="preserve">.  In addition, there is a </w:t>
      </w:r>
      <w:r w:rsidR="00536B42">
        <w:rPr>
          <w:rFonts w:cs="Helvetica"/>
          <w:szCs w:val="32"/>
        </w:rPr>
        <w:t xml:space="preserve">massive digital divide </w:t>
      </w:r>
      <w:r w:rsidR="00523805">
        <w:rPr>
          <w:rFonts w:cs="Helvetica"/>
          <w:szCs w:val="32"/>
        </w:rPr>
        <w:t xml:space="preserve">in Indian Country </w:t>
      </w:r>
      <w:r w:rsidR="00536B42">
        <w:rPr>
          <w:rFonts w:cs="Helvetica"/>
          <w:szCs w:val="32"/>
        </w:rPr>
        <w:t xml:space="preserve">that </w:t>
      </w:r>
      <w:r w:rsidR="00523805">
        <w:rPr>
          <w:rFonts w:cs="Helvetica"/>
          <w:szCs w:val="32"/>
        </w:rPr>
        <w:t>not only fails to</w:t>
      </w:r>
      <w:r w:rsidR="003B1B1B" w:rsidRPr="000418E6">
        <w:rPr>
          <w:rFonts w:cs="Helvetica"/>
          <w:szCs w:val="32"/>
        </w:rPr>
        <w:t xml:space="preserve"> sup</w:t>
      </w:r>
      <w:r w:rsidR="00F53190" w:rsidRPr="000418E6">
        <w:rPr>
          <w:rFonts w:cs="Helvetica"/>
          <w:szCs w:val="32"/>
        </w:rPr>
        <w:t>port new businesses</w:t>
      </w:r>
      <w:r w:rsidR="00536B42">
        <w:rPr>
          <w:rFonts w:cs="Helvetica"/>
          <w:szCs w:val="32"/>
        </w:rPr>
        <w:t>—it scares them away</w:t>
      </w:r>
      <w:r w:rsidR="00F53190" w:rsidRPr="000418E6">
        <w:rPr>
          <w:rFonts w:cs="Helvetica"/>
          <w:szCs w:val="32"/>
        </w:rPr>
        <w:t xml:space="preserve">. </w:t>
      </w:r>
      <w:r w:rsidR="00536B42">
        <w:rPr>
          <w:rFonts w:cs="Helvetica"/>
          <w:szCs w:val="32"/>
        </w:rPr>
        <w:t xml:space="preserve"> </w:t>
      </w:r>
      <w:r w:rsidR="00523805">
        <w:rPr>
          <w:rFonts w:cs="Helvetica"/>
          <w:szCs w:val="32"/>
        </w:rPr>
        <w:t>Indian gaming helps prov</w:t>
      </w:r>
      <w:r w:rsidR="00820C27">
        <w:rPr>
          <w:rFonts w:cs="Helvetica"/>
          <w:szCs w:val="32"/>
        </w:rPr>
        <w:t xml:space="preserve">ide some tribes with funding for massive infrastructure projects, but many more continue to rely on federal funds for these significant projects. </w:t>
      </w:r>
      <w:r w:rsidR="00523805">
        <w:rPr>
          <w:rFonts w:cs="Helvetica"/>
          <w:szCs w:val="32"/>
        </w:rPr>
        <w:t xml:space="preserve"> </w:t>
      </w:r>
      <w:r w:rsidR="000418E6" w:rsidRPr="000418E6">
        <w:rPr>
          <w:color w:val="000000"/>
        </w:rPr>
        <w:t xml:space="preserve">Federal funding mechanisms </w:t>
      </w:r>
      <w:r w:rsidR="00536B42">
        <w:rPr>
          <w:color w:val="000000"/>
        </w:rPr>
        <w:t xml:space="preserve">for infrastructure development </w:t>
      </w:r>
      <w:r w:rsidR="000418E6" w:rsidRPr="000418E6">
        <w:rPr>
          <w:color w:val="000000"/>
        </w:rPr>
        <w:t xml:space="preserve">should be altered to provide direct funding to tribal governments in the same manner that federal funds flow to state and local governments for infrastructure development. </w:t>
      </w:r>
      <w:r w:rsidR="00820C27">
        <w:rPr>
          <w:color w:val="000000"/>
        </w:rPr>
        <w:t xml:space="preserve"> Self-determination is not a termination of the government’s treaty and trust obligations.  We must continue to work together to rebuild our communities.</w:t>
      </w:r>
    </w:p>
    <w:p w:rsidR="000418E6" w:rsidRPr="000418E6" w:rsidRDefault="000418E6"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361609" w:rsidRPr="00C62E87" w:rsidRDefault="00043532" w:rsidP="00FD6F10">
      <w:pPr>
        <w:widowControl w:val="0"/>
        <w:autoSpaceDE w:val="0"/>
        <w:autoSpaceDN w:val="0"/>
        <w:adjustRightInd w:val="0"/>
        <w:spacing w:after="320"/>
        <w:jc w:val="both"/>
        <w:rPr>
          <w:rFonts w:cs="Helvetica"/>
          <w:szCs w:val="32"/>
        </w:rPr>
      </w:pPr>
      <w:r w:rsidRPr="000418E6">
        <w:rPr>
          <w:rFonts w:cs="Helvetica"/>
          <w:szCs w:val="32"/>
        </w:rPr>
        <w:t>Indian gaming is helping shape our next generation of Native leaders.  Gaming revenues are providing Native youth with educational opportunities that were not available prior to gaming.  Many others see their friends and relatives become Native entrepreneurs, and see that it’s possible to succeed.</w:t>
      </w:r>
      <w:r w:rsidR="0035291F" w:rsidRPr="000418E6">
        <w:rPr>
          <w:rFonts w:cs="Helvetica"/>
          <w:szCs w:val="32"/>
        </w:rPr>
        <w:t xml:space="preserve"> We have to continue that trend. We have to move our economies forward, not just in diversifying</w:t>
      </w:r>
      <w:r w:rsidR="00536B42">
        <w:rPr>
          <w:rFonts w:cs="Helvetica"/>
          <w:szCs w:val="32"/>
        </w:rPr>
        <w:t xml:space="preserve"> beyond gaming to other tribal government-run entities, but by providing incentives for our Native entrepreneurs to stay home or come home to build their dream business</w:t>
      </w:r>
      <w:r w:rsidR="0035291F" w:rsidRPr="000418E6">
        <w:rPr>
          <w:rFonts w:cs="Helvetica"/>
          <w:szCs w:val="32"/>
        </w:rPr>
        <w:t>.</w:t>
      </w:r>
      <w:r w:rsidR="00C62E87">
        <w:rPr>
          <w:rFonts w:cs="Helvetica"/>
          <w:szCs w:val="32"/>
        </w:rPr>
        <w:t xml:space="preserve">  But we can’t do it alone. </w:t>
      </w:r>
    </w:p>
    <w:p w:rsidR="00181F3B" w:rsidRPr="00361609" w:rsidRDefault="00361609"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sidRPr="00361609">
        <w:rPr>
          <w:color w:val="000000"/>
        </w:rPr>
        <w:tab/>
      </w:r>
      <w:r w:rsidR="00680EC2">
        <w:rPr>
          <w:b/>
          <w:i/>
          <w:color w:val="000000"/>
        </w:rPr>
        <w:t>Good Neighbors: Reinforcing Existing and F</w:t>
      </w:r>
      <w:r w:rsidRPr="00361609">
        <w:rPr>
          <w:b/>
          <w:i/>
          <w:color w:val="000000"/>
        </w:rPr>
        <w:t>orging New Relationships</w:t>
      </w:r>
    </w:p>
    <w:p w:rsidR="00166C65" w:rsidRPr="00166C65" w:rsidRDefault="00166C6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166C65" w:rsidRPr="00166C65" w:rsidRDefault="00166C65" w:rsidP="00FD6F10">
      <w:pPr>
        <w:widowControl w:val="0"/>
        <w:autoSpaceDE w:val="0"/>
        <w:autoSpaceDN w:val="0"/>
        <w:adjustRightInd w:val="0"/>
        <w:ind w:left="720" w:right="720"/>
        <w:jc w:val="both"/>
        <w:rPr>
          <w:szCs w:val="29"/>
        </w:rPr>
      </w:pPr>
      <w:r>
        <w:rPr>
          <w:szCs w:val="29"/>
        </w:rPr>
        <w:t>“</w:t>
      </w:r>
      <w:r w:rsidRPr="00166C65">
        <w:rPr>
          <w:szCs w:val="29"/>
        </w:rPr>
        <w:t xml:space="preserve">It </w:t>
      </w:r>
      <w:r w:rsidRPr="00166C65">
        <w:rPr>
          <w:szCs w:val="28"/>
        </w:rPr>
        <w:t xml:space="preserve">is </w:t>
      </w:r>
      <w:r w:rsidRPr="00166C65">
        <w:rPr>
          <w:szCs w:val="29"/>
        </w:rPr>
        <w:t>a long- and well</w:t>
      </w:r>
      <w:r>
        <w:rPr>
          <w:szCs w:val="29"/>
        </w:rPr>
        <w:t xml:space="preserve"> </w:t>
      </w:r>
      <w:r w:rsidRPr="00166C65">
        <w:rPr>
          <w:szCs w:val="29"/>
        </w:rPr>
        <w:t>established principle of Federal-Indian law</w:t>
      </w:r>
      <w:r>
        <w:rPr>
          <w:szCs w:val="29"/>
        </w:rPr>
        <w:t xml:space="preserve"> </w:t>
      </w:r>
      <w:r w:rsidRPr="00166C65">
        <w:rPr>
          <w:szCs w:val="28"/>
        </w:rPr>
        <w:t xml:space="preserve">as </w:t>
      </w:r>
      <w:r w:rsidRPr="00166C65">
        <w:rPr>
          <w:szCs w:val="29"/>
        </w:rPr>
        <w:t>expressed in the United States Constitution, reflected in Federal</w:t>
      </w:r>
      <w:r>
        <w:rPr>
          <w:szCs w:val="29"/>
        </w:rPr>
        <w:t xml:space="preserve"> </w:t>
      </w:r>
      <w:r w:rsidRPr="00166C65">
        <w:rPr>
          <w:szCs w:val="29"/>
        </w:rPr>
        <w:t xml:space="preserve">statutes, and articulated </w:t>
      </w:r>
      <w:r w:rsidRPr="00166C65">
        <w:rPr>
          <w:szCs w:val="28"/>
        </w:rPr>
        <w:t xml:space="preserve">in </w:t>
      </w:r>
      <w:r w:rsidRPr="00166C65">
        <w:rPr>
          <w:szCs w:val="29"/>
        </w:rPr>
        <w:t>decisions of the Supreme Court, that</w:t>
      </w:r>
      <w:r>
        <w:rPr>
          <w:szCs w:val="29"/>
        </w:rPr>
        <w:t xml:space="preserve"> </w:t>
      </w:r>
      <w:r w:rsidRPr="00166C65">
        <w:rPr>
          <w:szCs w:val="29"/>
        </w:rPr>
        <w:t>unless authorized by an act of Congress, the jurisdiction of State</w:t>
      </w:r>
      <w:r>
        <w:rPr>
          <w:szCs w:val="29"/>
        </w:rPr>
        <w:t xml:space="preserve"> </w:t>
      </w:r>
      <w:r w:rsidRPr="00166C65">
        <w:rPr>
          <w:szCs w:val="29"/>
        </w:rPr>
        <w:t xml:space="preserve">governments and the application of state laws do not extend </w:t>
      </w:r>
      <w:r w:rsidRPr="00166C65">
        <w:rPr>
          <w:szCs w:val="29"/>
        </w:rPr>
        <w:lastRenderedPageBreak/>
        <w:t>to</w:t>
      </w:r>
      <w:r>
        <w:rPr>
          <w:szCs w:val="29"/>
        </w:rPr>
        <w:t xml:space="preserve"> </w:t>
      </w:r>
      <w:r w:rsidRPr="00166C65">
        <w:rPr>
          <w:szCs w:val="29"/>
        </w:rPr>
        <w:t>Indian lands. In modern times, even when Congress has enacted</w:t>
      </w:r>
      <w:r>
        <w:rPr>
          <w:szCs w:val="29"/>
        </w:rPr>
        <w:t xml:space="preserve"> </w:t>
      </w:r>
      <w:r w:rsidRPr="00166C65">
        <w:rPr>
          <w:szCs w:val="29"/>
        </w:rPr>
        <w:t xml:space="preserve">laws </w:t>
      </w:r>
      <w:r w:rsidRPr="00166C65">
        <w:rPr>
          <w:szCs w:val="31"/>
        </w:rPr>
        <w:t xml:space="preserve">to </w:t>
      </w:r>
      <w:r w:rsidRPr="00166C65">
        <w:rPr>
          <w:szCs w:val="29"/>
        </w:rPr>
        <w:t>allow a limited application of State law on Indian lands,</w:t>
      </w:r>
      <w:r>
        <w:rPr>
          <w:szCs w:val="29"/>
        </w:rPr>
        <w:t xml:space="preserve"> </w:t>
      </w:r>
      <w:r w:rsidRPr="00166C65">
        <w:rPr>
          <w:szCs w:val="29"/>
        </w:rPr>
        <w:t>the Congress has required the consent of tribal governments before</w:t>
      </w:r>
      <w:r>
        <w:rPr>
          <w:szCs w:val="29"/>
        </w:rPr>
        <w:t xml:space="preserve"> </w:t>
      </w:r>
      <w:r w:rsidRPr="00166C65">
        <w:rPr>
          <w:szCs w:val="29"/>
        </w:rPr>
        <w:t>State jurisdiction can be extended to tribal lands.</w:t>
      </w:r>
      <w:r>
        <w:rPr>
          <w:szCs w:val="29"/>
        </w:rPr>
        <w:t>”  Sen. Rept. No. 100-446, at 5.</w:t>
      </w:r>
    </w:p>
    <w:p w:rsidR="00166C65" w:rsidRDefault="00166C6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820C27" w:rsidRDefault="00536B4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IGRA’s</w:t>
      </w:r>
      <w:r w:rsidR="00166C65">
        <w:rPr>
          <w:color w:val="000000"/>
        </w:rPr>
        <w:t xml:space="preserve"> </w:t>
      </w:r>
      <w:r>
        <w:rPr>
          <w:color w:val="000000"/>
        </w:rPr>
        <w:t>requirement that</w:t>
      </w:r>
      <w:r w:rsidR="00166C65">
        <w:rPr>
          <w:color w:val="000000"/>
        </w:rPr>
        <w:t xml:space="preserve"> tribal governments enter into compacts and other agreements with state governments was the primary reason </w:t>
      </w:r>
      <w:r>
        <w:rPr>
          <w:color w:val="000000"/>
        </w:rPr>
        <w:t>that many Indian tr</w:t>
      </w:r>
      <w:r w:rsidR="00820C27">
        <w:rPr>
          <w:color w:val="000000"/>
        </w:rPr>
        <w:t xml:space="preserve">ibes opposed the legislation.  When Congress debated IGRA in the mid-1980s, </w:t>
      </w:r>
      <w:r w:rsidR="00FB3E19">
        <w:rPr>
          <w:color w:val="000000"/>
        </w:rPr>
        <w:t>tribal-state relations were</w:t>
      </w:r>
      <w:r w:rsidR="00B67219">
        <w:rPr>
          <w:color w:val="000000"/>
        </w:rPr>
        <w:t xml:space="preserve"> not only contentious</w:t>
      </w:r>
      <w:r w:rsidR="00820C27">
        <w:rPr>
          <w:color w:val="000000"/>
        </w:rPr>
        <w:t xml:space="preserve"> – in many cases it was hostile and combative. </w:t>
      </w:r>
    </w:p>
    <w:p w:rsidR="00166C65" w:rsidRDefault="00166C6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3432D1" w:rsidRDefault="00166C65" w:rsidP="00FD6F10">
      <w:pPr>
        <w:widowControl w:val="0"/>
        <w:autoSpaceDE w:val="0"/>
        <w:autoSpaceDN w:val="0"/>
        <w:adjustRightInd w:val="0"/>
        <w:jc w:val="both"/>
        <w:rPr>
          <w:szCs w:val="22"/>
        </w:rPr>
      </w:pPr>
      <w:r>
        <w:rPr>
          <w:color w:val="000000"/>
        </w:rPr>
        <w:t xml:space="preserve">However, over the past </w:t>
      </w:r>
      <w:r w:rsidR="00596D80">
        <w:rPr>
          <w:color w:val="000000"/>
        </w:rPr>
        <w:t>twenty-five</w:t>
      </w:r>
      <w:r>
        <w:rPr>
          <w:color w:val="000000"/>
        </w:rPr>
        <w:t xml:space="preserve"> years under IGRA, many tribal and state governments have forged strong relationships that have worked to benefit all Americans. </w:t>
      </w:r>
      <w:r w:rsidR="007F5E4E">
        <w:rPr>
          <w:szCs w:val="22"/>
        </w:rPr>
        <w:t>An unexpected outgrowth of IGRA is the increased partnerships that have been forged between tribal, state and local governments over the past twenty-five years.  Effective</w:t>
      </w:r>
      <w:r w:rsidR="007F5E4E" w:rsidRPr="00166C65">
        <w:rPr>
          <w:szCs w:val="22"/>
        </w:rPr>
        <w:t xml:space="preserve"> tribal-state partnerships</w:t>
      </w:r>
      <w:r w:rsidR="007F5E4E">
        <w:rPr>
          <w:szCs w:val="22"/>
        </w:rPr>
        <w:t xml:space="preserve"> enhance economic development in both of our communities.</w:t>
      </w:r>
    </w:p>
    <w:p w:rsidR="003432D1" w:rsidRDefault="003432D1" w:rsidP="00FD6F10">
      <w:pPr>
        <w:widowControl w:val="0"/>
        <w:autoSpaceDE w:val="0"/>
        <w:autoSpaceDN w:val="0"/>
        <w:adjustRightInd w:val="0"/>
        <w:jc w:val="both"/>
        <w:rPr>
          <w:szCs w:val="22"/>
        </w:rPr>
      </w:pPr>
    </w:p>
    <w:p w:rsidR="00820C27" w:rsidRDefault="007F5E4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Pr>
          <w:bCs/>
        </w:rPr>
        <w:t xml:space="preserve">IGRA of course envisioned that tribal and state leaders would come together in the best interests of their citizens and their governments to negotiate and reach agreements on class III gaming compacts.  In some cases, these compact negotiations were exhaustive, time consuming and costly to both parties.  In some case, they have gone smoothly.  In a few unfortunate cases, they have yet to take place.  </w:t>
      </w:r>
      <w:r w:rsidR="00820C27">
        <w:rPr>
          <w:bCs/>
        </w:rPr>
        <w:t>In those instances where the compacting process has worked, it has greatly benefitted both tribal and state communities.</w:t>
      </w:r>
    </w:p>
    <w:p w:rsidR="00820C27" w:rsidRDefault="00820C2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p>
    <w:p w:rsidR="007F5E4E" w:rsidRDefault="00820C27"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Pr>
          <w:bCs/>
        </w:rPr>
        <w:t>The</w:t>
      </w:r>
      <w:r w:rsidR="007F5E4E">
        <w:rPr>
          <w:bCs/>
        </w:rPr>
        <w:t xml:space="preserve"> overall bottom line is that Indian gaming, </w:t>
      </w:r>
      <w:r w:rsidR="00006633">
        <w:rPr>
          <w:bCs/>
        </w:rPr>
        <w:t xml:space="preserve">in addition to revitalizing </w:t>
      </w:r>
      <w:r w:rsidR="007F5E4E">
        <w:rPr>
          <w:bCs/>
        </w:rPr>
        <w:t xml:space="preserve">tribal communities, has established a steady source of revenue to state governments. </w:t>
      </w:r>
    </w:p>
    <w:p w:rsidR="008E2C15" w:rsidRDefault="008E2C1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p>
    <w:p w:rsidR="00950839" w:rsidRDefault="008E2C1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In 2013</w:t>
      </w:r>
      <w:r w:rsidRPr="00681147">
        <w:rPr>
          <w:color w:val="000000"/>
        </w:rPr>
        <w:t xml:space="preserve">, Indian gaming </w:t>
      </w:r>
      <w:r>
        <w:rPr>
          <w:color w:val="000000"/>
        </w:rPr>
        <w:t>generated over $13.6 billion</w:t>
      </w:r>
      <w:r w:rsidRPr="00681147">
        <w:rPr>
          <w:color w:val="000000"/>
        </w:rPr>
        <w:t xml:space="preserve"> for fede</w:t>
      </w:r>
      <w:r w:rsidR="00042F4A">
        <w:rPr>
          <w:color w:val="000000"/>
        </w:rPr>
        <w:t>ral, state and local government</w:t>
      </w:r>
      <w:r w:rsidRPr="00681147">
        <w:rPr>
          <w:color w:val="000000"/>
        </w:rPr>
        <w:t xml:space="preserve"> budgets </w:t>
      </w:r>
      <w:r w:rsidRPr="00681147">
        <w:rPr>
          <w:bCs/>
        </w:rPr>
        <w:t>through compact and service agreements, indirect payment of employment, income, sales and other state taxes, and reduced general welfare payments</w:t>
      </w:r>
      <w:r>
        <w:rPr>
          <w:color w:val="000000"/>
        </w:rPr>
        <w:t>. Despite the fact that Indian t</w:t>
      </w:r>
      <w:r w:rsidRPr="00681147">
        <w:rPr>
          <w:color w:val="000000"/>
        </w:rPr>
        <w:t>ribes are governments, not subject to direct taxation, individual Indians pay federal income taxes, the people who work at casinos pay taxes, and those who do business with</w:t>
      </w:r>
      <w:r w:rsidRPr="00461176">
        <w:rPr>
          <w:color w:val="000000"/>
        </w:rPr>
        <w:t xml:space="preserve"> </w:t>
      </w:r>
      <w:r>
        <w:rPr>
          <w:color w:val="000000"/>
        </w:rPr>
        <w:t xml:space="preserve">tribal </w:t>
      </w:r>
      <w:r w:rsidRPr="00461176">
        <w:rPr>
          <w:color w:val="000000"/>
        </w:rPr>
        <w:t>ca</w:t>
      </w:r>
      <w:r>
        <w:rPr>
          <w:color w:val="000000"/>
        </w:rPr>
        <w:t>sinos pay taxes. As employers, t</w:t>
      </w:r>
      <w:r w:rsidRPr="00461176">
        <w:rPr>
          <w:color w:val="000000"/>
        </w:rPr>
        <w:t>ribes also pay employment taxes to fund social security and participate as governments in the federal unemployment system.</w:t>
      </w:r>
      <w:r>
        <w:rPr>
          <w:color w:val="000000"/>
        </w:rPr>
        <w:t xml:space="preserve">  </w:t>
      </w:r>
    </w:p>
    <w:p w:rsidR="007F5E4E" w:rsidRDefault="007F5E4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7F5E4E" w:rsidRPr="00042F4A" w:rsidRDefault="007F5E4E" w:rsidP="00FD6F10">
      <w:pPr>
        <w:widowControl w:val="0"/>
        <w:autoSpaceDE w:val="0"/>
        <w:autoSpaceDN w:val="0"/>
        <w:adjustRightInd w:val="0"/>
        <w:jc w:val="both"/>
        <w:rPr>
          <w:szCs w:val="22"/>
        </w:rPr>
      </w:pPr>
      <w:r>
        <w:rPr>
          <w:szCs w:val="22"/>
        </w:rPr>
        <w:t>While IGRA is explicitly limited to gaming-related agreements,</w:t>
      </w:r>
      <w:r>
        <w:rPr>
          <w:rStyle w:val="FootnoteReference"/>
          <w:szCs w:val="22"/>
        </w:rPr>
        <w:footnoteReference w:id="2"/>
      </w:r>
      <w:r>
        <w:rPr>
          <w:szCs w:val="22"/>
        </w:rPr>
        <w:t xml:space="preserve"> the gaming compact negotiation process has brought many tribal and state governments to the negotiating table that never sat in the same room.  Putting tribal leaders together with state governors, legislators, and local government officials has fostered relationships that have led to a wide array of inter-governmental agreements covering areas of taxation, cross-deputization, and more.  These </w:t>
      </w:r>
      <w:r>
        <w:rPr>
          <w:szCs w:val="22"/>
        </w:rPr>
        <w:lastRenderedPageBreak/>
        <w:t>agreements have fostered goodwill and greater understanding that serves everyone involved.</w:t>
      </w:r>
    </w:p>
    <w:p w:rsidR="004B461F"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3432D1" w:rsidRDefault="007F5E4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In addition, </w:t>
      </w:r>
      <w:r w:rsidR="008E2C15" w:rsidRPr="00361609">
        <w:rPr>
          <w:color w:val="000000"/>
        </w:rPr>
        <w:t>Indian tribes also made more than $100 million in charitable contributions to other tribes, nearby state and local governments, and non-profits and private organizations.</w:t>
      </w:r>
      <w:r w:rsidR="008E2C15" w:rsidRPr="00461176">
        <w:rPr>
          <w:color w:val="000000"/>
        </w:rPr>
        <w:t xml:space="preserve">  </w:t>
      </w:r>
      <w:r w:rsidR="003432D1" w:rsidRPr="00361609">
        <w:rPr>
          <w:color w:val="000000"/>
        </w:rPr>
        <w:t xml:space="preserve">A June 2011 National Public Radio report, titled “Casino Revenue Helps Tribes Aid Local Governments,” acknowledged that </w:t>
      </w:r>
      <w:r w:rsidR="00825A1D">
        <w:rPr>
          <w:color w:val="000000"/>
        </w:rPr>
        <w:t>contributions</w:t>
      </w:r>
      <w:r w:rsidR="003432D1" w:rsidRPr="00361609">
        <w:rPr>
          <w:color w:val="000000"/>
        </w:rPr>
        <w:t xml:space="preserve"> from the Stillaguamish Tribe of Washington helped prevent additional layoffs at the local Everett, Washington prosecutor’s office.  The article also noted </w:t>
      </w:r>
      <w:r w:rsidR="003432D1" w:rsidRPr="00361609">
        <w:rPr>
          <w:rFonts w:cs="Arial"/>
          <w:color w:val="262626"/>
          <w:szCs w:val="28"/>
        </w:rPr>
        <w:t>to the $1.3 million that the Tulalip Tribes recently gave to the local school district after they heard about possible budget cuts and teacher layoffs.</w:t>
      </w:r>
      <w:r w:rsidR="00825A1D">
        <w:rPr>
          <w:color w:val="000000"/>
        </w:rPr>
        <w:t xml:space="preserve"> These same scenarios took </w:t>
      </w:r>
      <w:r w:rsidR="003432D1" w:rsidRPr="00361609">
        <w:rPr>
          <w:color w:val="000000"/>
        </w:rPr>
        <w:t xml:space="preserve">place in </w:t>
      </w:r>
      <w:r w:rsidR="003432D1">
        <w:rPr>
          <w:color w:val="000000"/>
        </w:rPr>
        <w:t>hundreds of</w:t>
      </w:r>
      <w:r w:rsidR="003432D1" w:rsidRPr="00361609">
        <w:rPr>
          <w:color w:val="000000"/>
        </w:rPr>
        <w:t xml:space="preserve"> local jurisdictio</w:t>
      </w:r>
      <w:r w:rsidR="003432D1">
        <w:rPr>
          <w:color w:val="000000"/>
        </w:rPr>
        <w:t xml:space="preserve">ns throughout the United States.  Indian gaming revenues </w:t>
      </w:r>
      <w:r w:rsidR="00825A1D">
        <w:rPr>
          <w:color w:val="000000"/>
        </w:rPr>
        <w:t>saved</w:t>
      </w:r>
      <w:r w:rsidR="003432D1" w:rsidRPr="00361609">
        <w:rPr>
          <w:color w:val="000000"/>
        </w:rPr>
        <w:t xml:space="preserve"> thousands of jobs for American health care workers, fire fighters, police officers, and many other local officials th</w:t>
      </w:r>
      <w:r w:rsidR="00825A1D">
        <w:rPr>
          <w:color w:val="000000"/>
        </w:rPr>
        <w:t>at provide essential services through the Recession</w:t>
      </w:r>
      <w:r w:rsidR="003432D1" w:rsidRPr="00361609">
        <w:rPr>
          <w:color w:val="000000"/>
        </w:rPr>
        <w:t>.</w:t>
      </w:r>
    </w:p>
    <w:p w:rsidR="00C060B8" w:rsidRDefault="00C060B8" w:rsidP="00FD6F10">
      <w:pPr>
        <w:widowControl w:val="0"/>
        <w:autoSpaceDE w:val="0"/>
        <w:autoSpaceDN w:val="0"/>
        <w:adjustRightInd w:val="0"/>
        <w:jc w:val="both"/>
        <w:rPr>
          <w:szCs w:val="22"/>
        </w:rPr>
      </w:pPr>
    </w:p>
    <w:p w:rsidR="00825A1D" w:rsidRDefault="00C060B8" w:rsidP="00FD6F10">
      <w:pPr>
        <w:widowControl w:val="0"/>
        <w:autoSpaceDE w:val="0"/>
        <w:autoSpaceDN w:val="0"/>
        <w:adjustRightInd w:val="0"/>
        <w:jc w:val="both"/>
        <w:rPr>
          <w:szCs w:val="22"/>
        </w:rPr>
      </w:pPr>
      <w:r w:rsidRPr="0062222E">
        <w:rPr>
          <w:szCs w:val="22"/>
        </w:rPr>
        <w:t xml:space="preserve">Indian gaming has also increased the political participation of </w:t>
      </w:r>
      <w:r w:rsidR="00950839">
        <w:rPr>
          <w:szCs w:val="22"/>
        </w:rPr>
        <w:t xml:space="preserve">tribal governments and individual </w:t>
      </w:r>
      <w:r w:rsidRPr="0062222E">
        <w:rPr>
          <w:szCs w:val="22"/>
        </w:rPr>
        <w:t xml:space="preserve">Native Americans nationwide.  </w:t>
      </w:r>
      <w:r w:rsidR="003432D1">
        <w:rPr>
          <w:szCs w:val="22"/>
        </w:rPr>
        <w:t>One</w:t>
      </w:r>
      <w:r w:rsidRPr="0062222E">
        <w:rPr>
          <w:szCs w:val="22"/>
        </w:rPr>
        <w:t xml:space="preserve"> positive outgrowth of this increased participation is that many Native </w:t>
      </w:r>
      <w:r w:rsidR="0035291F">
        <w:rPr>
          <w:szCs w:val="22"/>
        </w:rPr>
        <w:t xml:space="preserve">people are now seeking office in state and local government.   </w:t>
      </w:r>
    </w:p>
    <w:p w:rsidR="00825A1D" w:rsidRDefault="00825A1D" w:rsidP="00FD6F10">
      <w:pPr>
        <w:widowControl w:val="0"/>
        <w:autoSpaceDE w:val="0"/>
        <w:autoSpaceDN w:val="0"/>
        <w:adjustRightInd w:val="0"/>
        <w:jc w:val="both"/>
        <w:rPr>
          <w:szCs w:val="22"/>
        </w:rPr>
      </w:pPr>
    </w:p>
    <w:p w:rsidR="003A1ECF" w:rsidRPr="00825A1D" w:rsidRDefault="00C060B8" w:rsidP="00FD6F10">
      <w:pPr>
        <w:widowControl w:val="0"/>
        <w:autoSpaceDE w:val="0"/>
        <w:autoSpaceDN w:val="0"/>
        <w:adjustRightInd w:val="0"/>
        <w:jc w:val="both"/>
        <w:rPr>
          <w:rFonts w:cs="Arial"/>
          <w:szCs w:val="28"/>
        </w:rPr>
      </w:pPr>
      <w:r w:rsidRPr="0062222E">
        <w:rPr>
          <w:rFonts w:cs="Arial"/>
          <w:szCs w:val="28"/>
        </w:rPr>
        <w:t>The National Caucus of Native American State Legislators (NCNASL)</w:t>
      </w:r>
      <w:r w:rsidR="0062222E" w:rsidRPr="0062222E">
        <w:rPr>
          <w:rFonts w:cs="Arial"/>
          <w:szCs w:val="28"/>
        </w:rPr>
        <w:t>, formed in 1992,</w:t>
      </w:r>
      <w:r w:rsidRPr="0062222E">
        <w:rPr>
          <w:rFonts w:cs="Arial"/>
          <w:szCs w:val="28"/>
        </w:rPr>
        <w:t xml:space="preserve"> </w:t>
      </w:r>
      <w:r w:rsidR="00950839">
        <w:rPr>
          <w:rFonts w:cs="Arial"/>
          <w:szCs w:val="28"/>
        </w:rPr>
        <w:t xml:space="preserve">now has 76 members in 17 states. </w:t>
      </w:r>
      <w:r w:rsidR="003432D1" w:rsidRPr="003432D1">
        <w:rPr>
          <w:rFonts w:cs="Arial"/>
          <w:szCs w:val="28"/>
        </w:rPr>
        <w:t xml:space="preserve">My good friend Kevin Killer </w:t>
      </w:r>
      <w:r w:rsidR="00825A1D">
        <w:rPr>
          <w:rFonts w:cs="Arial"/>
          <w:szCs w:val="28"/>
        </w:rPr>
        <w:t xml:space="preserve">served as Treasurer of </w:t>
      </w:r>
      <w:r w:rsidR="003432D1" w:rsidRPr="003432D1">
        <w:rPr>
          <w:rFonts w:cs="Arial"/>
          <w:szCs w:val="28"/>
        </w:rPr>
        <w:t xml:space="preserve">the </w:t>
      </w:r>
      <w:r w:rsidR="00825A1D">
        <w:rPr>
          <w:rFonts w:cs="Arial"/>
          <w:szCs w:val="28"/>
        </w:rPr>
        <w:t xml:space="preserve">Caucus’ </w:t>
      </w:r>
      <w:r w:rsidR="003432D1" w:rsidRPr="003432D1">
        <w:rPr>
          <w:rFonts w:cs="Arial"/>
          <w:szCs w:val="28"/>
        </w:rPr>
        <w:t>Exec</w:t>
      </w:r>
      <w:r w:rsidR="00825A1D">
        <w:rPr>
          <w:rFonts w:cs="Arial"/>
          <w:szCs w:val="28"/>
        </w:rPr>
        <w:t xml:space="preserve">utive Board in 2013.  </w:t>
      </w:r>
      <w:r w:rsidR="00950839">
        <w:rPr>
          <w:rFonts w:cs="Arial"/>
          <w:szCs w:val="28"/>
        </w:rPr>
        <w:t xml:space="preserve">The Caucus </w:t>
      </w:r>
      <w:r w:rsidRPr="0062222E">
        <w:rPr>
          <w:rFonts w:cs="Arial"/>
          <w:szCs w:val="28"/>
        </w:rPr>
        <w:t xml:space="preserve">works to promote a better understanding of state-tribal issues among policymakers and the public at large. Members </w:t>
      </w:r>
      <w:r w:rsidR="00820C27">
        <w:rPr>
          <w:rFonts w:cs="Arial"/>
          <w:szCs w:val="28"/>
        </w:rPr>
        <w:t>work</w:t>
      </w:r>
      <w:r w:rsidRPr="0062222E">
        <w:rPr>
          <w:rFonts w:cs="Arial"/>
          <w:szCs w:val="28"/>
        </w:rPr>
        <w:t xml:space="preserve"> to encourage a broad awareness of state-tribal issues and raise the profile of tribal issues throughout the state legislative arena. The strength of individ</w:t>
      </w:r>
      <w:r w:rsidR="00820C27">
        <w:rPr>
          <w:rFonts w:cs="Arial"/>
          <w:szCs w:val="28"/>
        </w:rPr>
        <w:t>ual Native American legislators</w:t>
      </w:r>
      <w:r w:rsidRPr="0062222E">
        <w:rPr>
          <w:rFonts w:cs="Arial"/>
          <w:szCs w:val="28"/>
        </w:rPr>
        <w:t xml:space="preserve"> increases the ability of the state legislatures to more appropriately address tribal issues and develop public policy in cooperation with tribal governments.  </w:t>
      </w:r>
    </w:p>
    <w:p w:rsidR="003A1ECF" w:rsidRPr="003A1ECF" w:rsidRDefault="003A1ECF" w:rsidP="00FD6F10">
      <w:pPr>
        <w:widowControl w:val="0"/>
        <w:autoSpaceDE w:val="0"/>
        <w:autoSpaceDN w:val="0"/>
        <w:adjustRightInd w:val="0"/>
        <w:jc w:val="both"/>
        <w:rPr>
          <w:rFonts w:cs="Arial"/>
          <w:szCs w:val="28"/>
        </w:rPr>
      </w:pPr>
    </w:p>
    <w:p w:rsidR="004137F5" w:rsidRPr="004B461F" w:rsidRDefault="00825A1D" w:rsidP="00FD6F10">
      <w:pPr>
        <w:widowControl w:val="0"/>
        <w:autoSpaceDE w:val="0"/>
        <w:autoSpaceDN w:val="0"/>
        <w:adjustRightInd w:val="0"/>
        <w:spacing w:after="220"/>
        <w:jc w:val="both"/>
        <w:rPr>
          <w:rFonts w:cs="Georgia"/>
          <w:color w:val="262626"/>
          <w:szCs w:val="28"/>
        </w:rPr>
      </w:pPr>
      <w:r>
        <w:rPr>
          <w:rFonts w:cs="Georgia"/>
          <w:color w:val="262626"/>
          <w:szCs w:val="28"/>
        </w:rPr>
        <w:t xml:space="preserve">While Indian Country has come a long way in the past twenty-five years, the relationships built with our neighboring governments will benefit future generations in ways that we have yet to realize.  </w:t>
      </w:r>
    </w:p>
    <w:p w:rsidR="004B461F" w:rsidRPr="003A1ECF"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sidRPr="003A1ECF">
        <w:rPr>
          <w:b/>
          <w:i/>
          <w:color w:val="000000"/>
        </w:rPr>
        <w:tab/>
        <w:t>Indian Gaming Regulation</w:t>
      </w:r>
    </w:p>
    <w:p w:rsidR="004B461F" w:rsidRPr="003A1ECF"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p>
    <w:p w:rsidR="004B461F" w:rsidRPr="0062507E"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r w:rsidRPr="003A1ECF">
        <w:t>Tribal governments</w:t>
      </w:r>
      <w:r w:rsidRPr="00166C65">
        <w:t xml:space="preserve"> realize that none of these benefits would be possible without a strong regulatory system </w:t>
      </w:r>
      <w:r>
        <w:t>that</w:t>
      </w:r>
      <w:r w:rsidRPr="00166C65">
        <w:t xml:space="preserve"> protect</w:t>
      </w:r>
      <w:r>
        <w:t>s</w:t>
      </w:r>
      <w:r w:rsidRPr="00166C65">
        <w:t xml:space="preserve"> tribal revenue and preserve</w:t>
      </w:r>
      <w:r>
        <w:t>s</w:t>
      </w:r>
      <w:r w:rsidRPr="00166C65">
        <w:t xml:space="preserve"> the integrity of our operations. </w:t>
      </w:r>
      <w:r>
        <w:rPr>
          <w:color w:val="000000"/>
        </w:rPr>
        <w:t xml:space="preserve">The regulatory system established under IGRA vests local tribal government regulators with the primary day-to-day responsibility for regulating Indian gaming operations. </w:t>
      </w:r>
      <w:r>
        <w:t>This only makes sense, because n</w:t>
      </w:r>
      <w:r w:rsidRPr="00D850D0">
        <w:t>o one has a greater interest in protecting the integri</w:t>
      </w:r>
      <w:r>
        <w:t>ty of Indian gaming than tribal governments.</w:t>
      </w:r>
    </w:p>
    <w:p w:rsidR="004B461F"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4B461F" w:rsidRPr="00115C51"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While tribes take on the primary day-to-day role of regulating Indian gaming operations, IGRA requires </w:t>
      </w:r>
      <w:r w:rsidRPr="004D59FA">
        <w:rPr>
          <w:color w:val="000000"/>
        </w:rPr>
        <w:t xml:space="preserve">coordination and cooperation </w:t>
      </w:r>
      <w:r>
        <w:rPr>
          <w:color w:val="000000"/>
        </w:rPr>
        <w:t xml:space="preserve">with the federal and state governments </w:t>
      </w:r>
      <w:r w:rsidRPr="004D59FA">
        <w:rPr>
          <w:color w:val="000000"/>
        </w:rPr>
        <w:t xml:space="preserve">to make this comprehensive regulatory system work.  </w:t>
      </w:r>
      <w:r>
        <w:t xml:space="preserve">Under the Act, the </w:t>
      </w:r>
      <w:r w:rsidRPr="00461176">
        <w:t xml:space="preserve">NIGC has direct authority to monitor class II gaming on Indian lands on a continuing basis and has full authority to inspect and examine all premises on which class II gaming is being conducted. </w:t>
      </w:r>
    </w:p>
    <w:p w:rsidR="004B461F" w:rsidRDefault="004B461F" w:rsidP="00FD6F10">
      <w:pPr>
        <w:jc w:val="both"/>
      </w:pPr>
    </w:p>
    <w:p w:rsidR="004B461F" w:rsidRDefault="004B461F" w:rsidP="00FD6F10">
      <w:pPr>
        <w:jc w:val="both"/>
      </w:pPr>
      <w:r>
        <w:lastRenderedPageBreak/>
        <w:t>Class III gaming is primarily regulated through a</w:t>
      </w:r>
      <w:r w:rsidRPr="00461176">
        <w:t xml:space="preserve"> framework established </w:t>
      </w:r>
      <w:r>
        <w:t xml:space="preserve">through individual tribal-state gaming compacts.  Here the two sovereigns agree upon a framework to regulate class III gaming based on </w:t>
      </w:r>
      <w:r w:rsidR="00FB3E19">
        <w:t>arm’s length</w:t>
      </w:r>
      <w:r>
        <w:t xml:space="preserve"> negotiations. </w:t>
      </w:r>
    </w:p>
    <w:p w:rsidR="004B461F" w:rsidRDefault="004B461F" w:rsidP="00FD6F10">
      <w:pPr>
        <w:jc w:val="both"/>
      </w:pPr>
    </w:p>
    <w:p w:rsidR="004B461F" w:rsidRPr="00461176" w:rsidRDefault="004B461F" w:rsidP="00FD6F10">
      <w:pPr>
        <w:jc w:val="both"/>
      </w:pPr>
      <w:r>
        <w:t>However, Congress intended that the NIGC would maintain an oversight of class III gaming.  As a result, under the Act, the NIGC:</w:t>
      </w:r>
    </w:p>
    <w:p w:rsidR="004B461F" w:rsidRPr="00461176" w:rsidRDefault="004B461F" w:rsidP="00FD6F10">
      <w:pPr>
        <w:ind w:firstLine="720"/>
        <w:jc w:val="both"/>
      </w:pPr>
    </w:p>
    <w:p w:rsidR="004B461F" w:rsidRPr="00461176" w:rsidRDefault="004B461F" w:rsidP="00FD6F10">
      <w:pPr>
        <w:numPr>
          <w:ilvl w:val="0"/>
          <w:numId w:val="3"/>
        </w:numPr>
        <w:jc w:val="both"/>
      </w:pPr>
      <w:r>
        <w:t>reviews and approves c</w:t>
      </w:r>
      <w:r w:rsidRPr="00461176">
        <w:t>lass III tribal gaming regulatory laws</w:t>
      </w:r>
      <w:r>
        <w:t xml:space="preserve"> and ordinances</w:t>
      </w:r>
      <w:r w:rsidRPr="00461176">
        <w:t xml:space="preserve">; </w:t>
      </w:r>
    </w:p>
    <w:p w:rsidR="004B461F" w:rsidRPr="00461176" w:rsidRDefault="004B461F" w:rsidP="00FD6F10">
      <w:pPr>
        <w:numPr>
          <w:ilvl w:val="0"/>
          <w:numId w:val="3"/>
        </w:numPr>
        <w:jc w:val="both"/>
      </w:pPr>
      <w:r w:rsidRPr="00461176">
        <w:t>reviews tribal background checks and gaming licenses</w:t>
      </w:r>
      <w:r>
        <w:t xml:space="preserve"> of class III gaming personnel</w:t>
      </w:r>
      <w:r w:rsidRPr="00461176">
        <w:t>;</w:t>
      </w:r>
    </w:p>
    <w:p w:rsidR="004B461F" w:rsidRPr="00461176" w:rsidRDefault="004B461F" w:rsidP="00FD6F10">
      <w:pPr>
        <w:numPr>
          <w:ilvl w:val="0"/>
          <w:numId w:val="3"/>
        </w:numPr>
        <w:jc w:val="both"/>
      </w:pPr>
      <w:r>
        <w:t>receives and reviews annual independent</w:t>
      </w:r>
      <w:r w:rsidRPr="00461176">
        <w:t xml:space="preserve"> audits of triba</w:t>
      </w:r>
      <w:r>
        <w:t>l gaming facilities, including c</w:t>
      </w:r>
      <w:r w:rsidRPr="00461176">
        <w:t xml:space="preserve">lass III gaming </w:t>
      </w:r>
      <w:r>
        <w:t>(</w:t>
      </w:r>
      <w:r w:rsidRPr="00461176">
        <w:t>all contracts for supplies and services over $25,000 annually are subject to those audits</w:t>
      </w:r>
      <w:r>
        <w:t>)</w:t>
      </w:r>
      <w:r w:rsidRPr="00461176">
        <w:t>;</w:t>
      </w:r>
    </w:p>
    <w:p w:rsidR="004B461F" w:rsidRPr="00461176" w:rsidRDefault="004B461F" w:rsidP="00FD6F10">
      <w:pPr>
        <w:numPr>
          <w:ilvl w:val="0"/>
          <w:numId w:val="3"/>
        </w:numPr>
        <w:jc w:val="both"/>
      </w:pPr>
      <w:r w:rsidRPr="00461176">
        <w:t>approves</w:t>
      </w:r>
      <w:r>
        <w:t xml:space="preserve"> all tribal</w:t>
      </w:r>
      <w:r w:rsidRPr="00461176">
        <w:t xml:space="preserve"> management contracts; and </w:t>
      </w:r>
    </w:p>
    <w:p w:rsidR="004B461F" w:rsidRPr="004E31B0" w:rsidRDefault="004B461F" w:rsidP="00FD6F10">
      <w:pPr>
        <w:numPr>
          <w:ilvl w:val="0"/>
          <w:numId w:val="3"/>
        </w:numPr>
        <w:jc w:val="both"/>
      </w:pPr>
      <w:r w:rsidRPr="00461176">
        <w:t>works</w:t>
      </w:r>
      <w:r w:rsidRPr="004E31B0">
        <w:t xml:space="preserve"> with tribal gaming regulatory agencies to ensure proper implementation of tribal gaming regulatory ordinances.</w:t>
      </w:r>
    </w:p>
    <w:p w:rsidR="004B461F"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4B461F" w:rsidRPr="00691FC7" w:rsidRDefault="004B461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t>This comprehensive</w:t>
      </w:r>
      <w:r w:rsidRPr="004D59FA">
        <w:t xml:space="preserve"> system </w:t>
      </w:r>
      <w:r>
        <w:t xml:space="preserve">of regulation </w:t>
      </w:r>
      <w:r w:rsidRPr="004D59FA">
        <w:t xml:space="preserve">is </w:t>
      </w:r>
      <w:r>
        <w:t>expensive</w:t>
      </w:r>
      <w:r w:rsidRPr="004D59FA">
        <w:t xml:space="preserve"> and time consuming, but tribal leaders know</w:t>
      </w:r>
      <w:r>
        <w:t xml:space="preserve"> what’s at stake and know</w:t>
      </w:r>
      <w:r w:rsidRPr="004D59FA">
        <w:t xml:space="preserve"> </w:t>
      </w:r>
      <w:r>
        <w:t>that strong regulation is the cost of a successful operation.</w:t>
      </w:r>
      <w:r>
        <w:rPr>
          <w:color w:val="000000"/>
        </w:rPr>
        <w:t xml:space="preserve">  Through the Recession, </w:t>
      </w:r>
      <w:r>
        <w:rPr>
          <w:rFonts w:eastAsia="Cambria"/>
        </w:rPr>
        <w:t>t</w:t>
      </w:r>
      <w:r w:rsidRPr="00461176">
        <w:rPr>
          <w:rFonts w:eastAsia="Cambria"/>
        </w:rPr>
        <w:t xml:space="preserve">ribal governments have </w:t>
      </w:r>
      <w:r>
        <w:rPr>
          <w:rFonts w:eastAsia="Cambria"/>
        </w:rPr>
        <w:t>continued to dedicate</w:t>
      </w:r>
      <w:r w:rsidRPr="00461176">
        <w:rPr>
          <w:rFonts w:eastAsia="Cambria"/>
        </w:rPr>
        <w:t xml:space="preserve"> tremendous resources to t</w:t>
      </w:r>
      <w:r>
        <w:rPr>
          <w:rFonts w:eastAsia="Cambria"/>
        </w:rPr>
        <w:t>he regulation of Indian gaming.</w:t>
      </w:r>
      <w:r w:rsidRPr="00461176">
        <w:rPr>
          <w:rFonts w:eastAsia="Cambria"/>
        </w:rPr>
        <w:t xml:space="preserve"> </w:t>
      </w:r>
      <w:r>
        <w:rPr>
          <w:rFonts w:eastAsia="Cambria"/>
        </w:rPr>
        <w:t xml:space="preserve"> In 2013, t</w:t>
      </w:r>
      <w:r w:rsidRPr="00461176">
        <w:rPr>
          <w:rFonts w:eastAsia="Cambria"/>
        </w:rPr>
        <w:t xml:space="preserve">ribes spent </w:t>
      </w:r>
      <w:r>
        <w:rPr>
          <w:rFonts w:eastAsia="Cambria"/>
        </w:rPr>
        <w:t>more than $422</w:t>
      </w:r>
      <w:r w:rsidRPr="00461176">
        <w:rPr>
          <w:rFonts w:eastAsia="Cambria"/>
        </w:rPr>
        <w:t xml:space="preserve"> million on tribal,</w:t>
      </w:r>
      <w:r>
        <w:rPr>
          <w:rFonts w:eastAsia="Cambria"/>
        </w:rPr>
        <w:t xml:space="preserve"> state, and federal regulation:</w:t>
      </w:r>
    </w:p>
    <w:p w:rsidR="004B461F" w:rsidRPr="00461176" w:rsidRDefault="004B461F" w:rsidP="00FD6F10">
      <w:pPr>
        <w:jc w:val="both"/>
        <w:rPr>
          <w:rFonts w:eastAsia="Cambria"/>
        </w:rPr>
      </w:pPr>
    </w:p>
    <w:p w:rsidR="004B461F" w:rsidRPr="00461176" w:rsidRDefault="004B461F" w:rsidP="00FD6F10">
      <w:pPr>
        <w:numPr>
          <w:ilvl w:val="0"/>
          <w:numId w:val="2"/>
        </w:numPr>
        <w:jc w:val="both"/>
        <w:rPr>
          <w:rFonts w:eastAsia="Cambria"/>
        </w:rPr>
      </w:pPr>
      <w:r>
        <w:rPr>
          <w:rFonts w:eastAsia="Cambria"/>
        </w:rPr>
        <w:t>$319</w:t>
      </w:r>
      <w:r w:rsidRPr="00461176">
        <w:rPr>
          <w:rFonts w:eastAsia="Cambria"/>
        </w:rPr>
        <w:t xml:space="preserve"> million to fund tribal government gaming regulatory agencies; </w:t>
      </w:r>
    </w:p>
    <w:p w:rsidR="004B461F" w:rsidRPr="00461176" w:rsidRDefault="004B461F" w:rsidP="00FD6F10">
      <w:pPr>
        <w:numPr>
          <w:ilvl w:val="0"/>
          <w:numId w:val="2"/>
        </w:numPr>
        <w:jc w:val="both"/>
        <w:rPr>
          <w:rFonts w:eastAsia="Cambria"/>
        </w:rPr>
      </w:pPr>
      <w:r>
        <w:rPr>
          <w:rFonts w:eastAsia="Cambria"/>
        </w:rPr>
        <w:t>$83</w:t>
      </w:r>
      <w:r w:rsidRPr="00461176">
        <w:rPr>
          <w:rFonts w:eastAsia="Cambria"/>
        </w:rPr>
        <w:t xml:space="preserve"> million to reimburse states for s</w:t>
      </w:r>
      <w:r>
        <w:rPr>
          <w:rFonts w:eastAsia="Cambria"/>
        </w:rPr>
        <w:t>tate regulatory activities negotiated and agreed to pursuant to approved t</w:t>
      </w:r>
      <w:r w:rsidRPr="00461176">
        <w:rPr>
          <w:rFonts w:eastAsia="Cambria"/>
        </w:rPr>
        <w:t>ribal</w:t>
      </w:r>
      <w:r>
        <w:rPr>
          <w:rFonts w:eastAsia="Cambria"/>
        </w:rPr>
        <w:t>-state class III gaming compact</w:t>
      </w:r>
      <w:r w:rsidRPr="00461176">
        <w:rPr>
          <w:rFonts w:eastAsia="Cambria"/>
        </w:rPr>
        <w:t xml:space="preserve">s; and </w:t>
      </w:r>
    </w:p>
    <w:p w:rsidR="004B461F" w:rsidRPr="00461176" w:rsidRDefault="004B461F" w:rsidP="00FD6F10">
      <w:pPr>
        <w:numPr>
          <w:ilvl w:val="0"/>
          <w:numId w:val="2"/>
        </w:numPr>
        <w:jc w:val="both"/>
        <w:rPr>
          <w:rFonts w:eastAsia="Cambria"/>
        </w:rPr>
      </w:pPr>
      <w:r>
        <w:rPr>
          <w:rFonts w:eastAsia="Cambria"/>
        </w:rPr>
        <w:t>$20</w:t>
      </w:r>
      <w:r w:rsidRPr="00461176">
        <w:rPr>
          <w:rFonts w:eastAsia="Cambria"/>
        </w:rPr>
        <w:t xml:space="preserve"> million </w:t>
      </w:r>
      <w:r>
        <w:rPr>
          <w:rFonts w:eastAsia="Cambria"/>
        </w:rPr>
        <w:t>to fully fund the operations and activities of the National Indian Gaming Commission.</w:t>
      </w:r>
    </w:p>
    <w:p w:rsidR="004B461F" w:rsidRDefault="004B461F" w:rsidP="00FD6F10">
      <w:pPr>
        <w:jc w:val="both"/>
        <w:rPr>
          <w:rFonts w:eastAsia="Cambria"/>
        </w:rPr>
      </w:pPr>
    </w:p>
    <w:p w:rsidR="004B461F" w:rsidRDefault="004B461F" w:rsidP="00FD6F10">
      <w:pPr>
        <w:jc w:val="both"/>
        <w:rPr>
          <w:rFonts w:eastAsia="Cambria"/>
        </w:rPr>
      </w:pPr>
      <w:r w:rsidRPr="0062507E">
        <w:rPr>
          <w:color w:val="000000"/>
        </w:rPr>
        <w:t>There are over</w:t>
      </w:r>
      <w:r w:rsidR="009C721A">
        <w:rPr>
          <w:color w:val="000000"/>
        </w:rPr>
        <w:t xml:space="preserve"> 6,500 tribal, state, and federal regulators</w:t>
      </w:r>
      <w:r w:rsidRPr="0062507E">
        <w:rPr>
          <w:color w:val="000000"/>
        </w:rPr>
        <w:t xml:space="preserve"> working together to maintain the integrity of Indian gaming.</w:t>
      </w:r>
      <w:r>
        <w:rPr>
          <w:rStyle w:val="FootnoteReference"/>
          <w:color w:val="000000"/>
        </w:rPr>
        <w:footnoteReference w:id="3"/>
      </w:r>
      <w:r w:rsidRPr="0062507E">
        <w:rPr>
          <w:color w:val="000000"/>
        </w:rPr>
        <w:t xml:space="preserve"> NIGC is the Federal civil regulatory agency primarily responsible – along with tribal and state regulators – for regulation of Indian gaming on Indian lands. Tribal governments employ approximately 5,900 gaming regulators and states emplo</w:t>
      </w:r>
      <w:r>
        <w:rPr>
          <w:color w:val="000000"/>
        </w:rPr>
        <w:t>y approximately 570 regulators.</w:t>
      </w:r>
      <w:r>
        <w:rPr>
          <w:rStyle w:val="FootnoteReference"/>
          <w:color w:val="000000"/>
        </w:rPr>
        <w:footnoteReference w:id="4"/>
      </w:r>
    </w:p>
    <w:p w:rsidR="004B461F" w:rsidRDefault="004B461F" w:rsidP="00FD6F10">
      <w:pPr>
        <w:jc w:val="both"/>
        <w:rPr>
          <w:rFonts w:eastAsia="Cambria"/>
        </w:rPr>
      </w:pPr>
    </w:p>
    <w:p w:rsidR="004B461F" w:rsidRPr="00461176" w:rsidRDefault="004B461F" w:rsidP="00FD6F10">
      <w:pPr>
        <w:jc w:val="both"/>
        <w:rPr>
          <w:rFonts w:eastAsia="Cambria"/>
        </w:rPr>
      </w:pPr>
      <w:r>
        <w:rPr>
          <w:rFonts w:eastAsia="Cambria"/>
        </w:rPr>
        <w:t>At the f</w:t>
      </w:r>
      <w:r w:rsidRPr="00461176">
        <w:rPr>
          <w:rFonts w:eastAsia="Cambria"/>
        </w:rPr>
        <w:t>ederal level, the NIGC employs more than 100 regulators and staff.</w:t>
      </w:r>
      <w:r>
        <w:rPr>
          <w:rFonts w:eastAsia="Cambria"/>
        </w:rPr>
        <w:t xml:space="preserve"> In addition to the NIGC, a number of other federal officials help regulate and protect Indian gaming operations.  Tribes work with the FBI and U.S. Attorneys offices to investigate and</w:t>
      </w:r>
      <w:r w:rsidRPr="00461176">
        <w:rPr>
          <w:rFonts w:eastAsia="Cambria"/>
        </w:rPr>
        <w:t xml:space="preserve"> prosecute anyone who would cheat, embezzle, or defraud an Indian gaming facility – this applies to management, employees, and patrons. 18 U.S.C. </w:t>
      </w:r>
      <w:r>
        <w:rPr>
          <w:rFonts w:eastAsia="Cambria"/>
        </w:rPr>
        <w:t>§</w:t>
      </w:r>
      <w:r w:rsidRPr="00461176">
        <w:rPr>
          <w:rFonts w:eastAsia="Cambria"/>
        </w:rPr>
        <w:t xml:space="preserve">1163. </w:t>
      </w:r>
      <w:r>
        <w:rPr>
          <w:rFonts w:eastAsia="Cambria"/>
        </w:rPr>
        <w:t>Tribal regulators also work with the Treasury Department’s Internal Revenues Service to ensure federal tax compliance and the Financial Crimes Enforcement Network (FinCEN) to prevent money laundering.  Finally, tribes work with the Secret Service to prevent counterfeiting.</w:t>
      </w:r>
    </w:p>
    <w:p w:rsidR="004B461F" w:rsidRDefault="004B461F" w:rsidP="00FD6F10">
      <w:pPr>
        <w:jc w:val="both"/>
        <w:rPr>
          <w:rFonts w:eastAsia="Cambria"/>
        </w:rPr>
      </w:pPr>
    </w:p>
    <w:p w:rsidR="00243D07" w:rsidRDefault="004B461F" w:rsidP="00FD6F10">
      <w:pPr>
        <w:jc w:val="both"/>
        <w:rPr>
          <w:szCs w:val="36"/>
        </w:rPr>
      </w:pPr>
      <w:r w:rsidRPr="004E31B0">
        <w:rPr>
          <w:szCs w:val="36"/>
        </w:rPr>
        <w:t>Against this backdrop of comprehensive regulation, the FBI and the Justice Department have repeatedly testified that there has been no substantial infiltration of organized crime on Indian gaming.  This system is costly, it’s comprehensive, and our record and our experience shows that it’s working.</w:t>
      </w:r>
    </w:p>
    <w:p w:rsidR="004B461F" w:rsidRDefault="004B461F" w:rsidP="00FD6F10">
      <w:pPr>
        <w:jc w:val="both"/>
        <w:rPr>
          <w:szCs w:val="36"/>
        </w:rPr>
      </w:pPr>
    </w:p>
    <w:p w:rsidR="003A1ECF" w:rsidRPr="004B3449" w:rsidRDefault="001066DE" w:rsidP="00FD6F10">
      <w:pPr>
        <w:jc w:val="both"/>
        <w:rPr>
          <w:b/>
          <w:color w:val="000000"/>
        </w:rPr>
      </w:pPr>
      <w:r w:rsidRPr="004B3449">
        <w:rPr>
          <w:b/>
          <w:color w:val="000000"/>
        </w:rPr>
        <w:t>INDIAN GAMING: THE NEXT 25 YEARS</w:t>
      </w:r>
    </w:p>
    <w:p w:rsidR="004137F5" w:rsidRDefault="004137F5" w:rsidP="00FD6F10">
      <w:pPr>
        <w:jc w:val="both"/>
        <w:rPr>
          <w:color w:val="000000"/>
        </w:rPr>
      </w:pPr>
    </w:p>
    <w:p w:rsidR="001E2663" w:rsidRDefault="001E2663" w:rsidP="00FD6F10">
      <w:pPr>
        <w:jc w:val="both"/>
        <w:rPr>
          <w:color w:val="000000"/>
        </w:rPr>
      </w:pPr>
      <w:r>
        <w:rPr>
          <w:color w:val="000000"/>
        </w:rPr>
        <w:t xml:space="preserve">As I stated at the onset, </w:t>
      </w:r>
      <w:r w:rsidR="00396DBF">
        <w:rPr>
          <w:color w:val="000000"/>
        </w:rPr>
        <w:t>NIGA</w:t>
      </w:r>
      <w:r>
        <w:rPr>
          <w:color w:val="000000"/>
        </w:rPr>
        <w:t xml:space="preserve"> is confident that the</w:t>
      </w:r>
      <w:r w:rsidRPr="000F65CE">
        <w:rPr>
          <w:color w:val="000000"/>
        </w:rPr>
        <w:t xml:space="preserve"> next twenty-five years wi</w:t>
      </w:r>
      <w:r>
        <w:rPr>
          <w:color w:val="000000"/>
        </w:rPr>
        <w:t>ll see Indian gaming maintain</w:t>
      </w:r>
      <w:r w:rsidRPr="000F65CE">
        <w:rPr>
          <w:color w:val="000000"/>
        </w:rPr>
        <w:t xml:space="preserve"> steady </w:t>
      </w:r>
      <w:r>
        <w:rPr>
          <w:color w:val="000000"/>
        </w:rPr>
        <w:t xml:space="preserve">responsible </w:t>
      </w:r>
      <w:r w:rsidRPr="000F65CE">
        <w:rPr>
          <w:color w:val="000000"/>
        </w:rPr>
        <w:t xml:space="preserve">growth </w:t>
      </w:r>
      <w:r>
        <w:rPr>
          <w:color w:val="000000"/>
        </w:rPr>
        <w:t>that will further</w:t>
      </w:r>
      <w:r w:rsidRPr="000F65CE">
        <w:rPr>
          <w:color w:val="000000"/>
        </w:rPr>
        <w:t xml:space="preserve"> em</w:t>
      </w:r>
      <w:r>
        <w:rPr>
          <w:color w:val="000000"/>
        </w:rPr>
        <w:t>power tribal communities.  Just as much has changed in the first twenty-five years under IGRA, Indian Country will continue to</w:t>
      </w:r>
      <w:r w:rsidR="00825A1D">
        <w:rPr>
          <w:color w:val="000000"/>
        </w:rPr>
        <w:t xml:space="preserve"> adapt and</w:t>
      </w:r>
      <w:r>
        <w:rPr>
          <w:color w:val="000000"/>
        </w:rPr>
        <w:t xml:space="preserve"> anticipate </w:t>
      </w:r>
      <w:r w:rsidR="00396DBF">
        <w:rPr>
          <w:color w:val="000000"/>
        </w:rPr>
        <w:t>future</w:t>
      </w:r>
      <w:r>
        <w:rPr>
          <w:color w:val="000000"/>
        </w:rPr>
        <w:t xml:space="preserve"> changes and make </w:t>
      </w:r>
      <w:r w:rsidR="00825A1D">
        <w:rPr>
          <w:color w:val="000000"/>
        </w:rPr>
        <w:t xml:space="preserve">our own </w:t>
      </w:r>
      <w:r>
        <w:rPr>
          <w:color w:val="000000"/>
        </w:rPr>
        <w:t xml:space="preserve">positive change </w:t>
      </w:r>
      <w:r w:rsidR="00825A1D">
        <w:rPr>
          <w:color w:val="000000"/>
        </w:rPr>
        <w:t>to</w:t>
      </w:r>
      <w:r>
        <w:rPr>
          <w:color w:val="000000"/>
        </w:rPr>
        <w:t xml:space="preserve"> advance tribal sovereignty and tribal government self-sufficiency.  </w:t>
      </w:r>
    </w:p>
    <w:p w:rsidR="00154AD1" w:rsidRDefault="00154AD1" w:rsidP="00FD6F10">
      <w:pPr>
        <w:jc w:val="both"/>
        <w:rPr>
          <w:color w:val="000000"/>
        </w:rPr>
      </w:pPr>
    </w:p>
    <w:p w:rsidR="00361609" w:rsidRPr="003A1ECF" w:rsidRDefault="003A1ECF" w:rsidP="00FD6F10">
      <w:pPr>
        <w:jc w:val="both"/>
        <w:rPr>
          <w:b/>
          <w:i/>
          <w:color w:val="000000"/>
        </w:rPr>
      </w:pPr>
      <w:r>
        <w:rPr>
          <w:color w:val="000000"/>
        </w:rPr>
        <w:tab/>
      </w:r>
      <w:r>
        <w:rPr>
          <w:b/>
          <w:i/>
          <w:color w:val="000000"/>
        </w:rPr>
        <w:t>Tribal – State Compacting Process</w:t>
      </w:r>
    </w:p>
    <w:p w:rsidR="004B3449" w:rsidRPr="004B3449" w:rsidRDefault="004B3449"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396DBF" w:rsidRDefault="00396DB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One change that NIGA will continue to work for is to restore balance to the IGRA compacting process.  I’ve twice noted to the fact that many prominent tribal leaders opposed IGRA because of the class III compacting process.  These leaders did not trust that state governments would respect their obligations to negotiate in good faith, or more fundamentally—negotiate.  </w:t>
      </w:r>
    </w:p>
    <w:p w:rsidR="00396DBF" w:rsidRDefault="00396DB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8E2C15" w:rsidRDefault="00DD7960"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This Committee’s Report</w:t>
      </w:r>
      <w:r w:rsidR="004B3449" w:rsidRPr="004B3449">
        <w:rPr>
          <w:color w:val="000000"/>
        </w:rPr>
        <w:t xml:space="preserve"> </w:t>
      </w:r>
      <w:r>
        <w:rPr>
          <w:color w:val="000000"/>
        </w:rPr>
        <w:t>on IGRA sought to alleviate these concerns:</w:t>
      </w:r>
    </w:p>
    <w:p w:rsidR="004B3449" w:rsidRPr="004B3449" w:rsidRDefault="004B3449"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DD7960" w:rsidRPr="00DD7960" w:rsidRDefault="004B3449" w:rsidP="00FD6F10">
      <w:pPr>
        <w:widowControl w:val="0"/>
        <w:autoSpaceDE w:val="0"/>
        <w:autoSpaceDN w:val="0"/>
        <w:adjustRightInd w:val="0"/>
        <w:ind w:left="720" w:right="720"/>
        <w:jc w:val="both"/>
        <w:rPr>
          <w:szCs w:val="29"/>
        </w:rPr>
      </w:pPr>
      <w:r w:rsidRPr="00DD7960">
        <w:rPr>
          <w:color w:val="000000"/>
          <w:szCs w:val="18"/>
        </w:rPr>
        <w:t>“</w:t>
      </w:r>
      <w:r w:rsidR="00DD7960" w:rsidRPr="00DD7960">
        <w:rPr>
          <w:color w:val="000000"/>
          <w:szCs w:val="18"/>
        </w:rPr>
        <w:t xml:space="preserve">[IGRA] grants a tribe the right to sue a State if compact negotiations are not concluded.  This section is the result of the Committee balancing the interests of States in regulating such gaming.  </w:t>
      </w:r>
      <w:r w:rsidRPr="00DD7960">
        <w:rPr>
          <w:color w:val="000000"/>
          <w:szCs w:val="18"/>
        </w:rPr>
        <w:t>Under this Act, Indian tribes will be required to give up any legal right they may now have to engage in class III gaming if: (1) they choose to forgo gaming rather than to opt for a compact that may involve State jurisdiction; or (2) they opt for a compact and, for whatever reason, a compact is not successfully negotiated. In contrast, States are not required to forgo any State governmental rights to engage in or regulate class III gaming except whatever they may voluntarily cede to a tribe under a compact. Thus, given this unequal balance, the issue before the Committee was how to best encourage States to deal fairly with tribes as sovereign governments. The Committee elected, as the least offensive option, to grant tribes the right to sue a State if a compact is not negotiated and chose to apply the good faith standard as the legal barometer for the State’s dealing with tribes in class III gaming negotiations</w:t>
      </w:r>
      <w:r w:rsidR="00DD7960" w:rsidRPr="00DD7960">
        <w:rPr>
          <w:color w:val="000000"/>
          <w:szCs w:val="18"/>
        </w:rPr>
        <w:t xml:space="preserve">…. </w:t>
      </w:r>
      <w:r w:rsidR="00DD7960">
        <w:rPr>
          <w:szCs w:val="29"/>
        </w:rPr>
        <w:t xml:space="preserve">The Committee </w:t>
      </w:r>
      <w:r w:rsidR="00DD7960" w:rsidRPr="00DD7960">
        <w:rPr>
          <w:szCs w:val="29"/>
        </w:rPr>
        <w:t xml:space="preserve">recognizes that this may include issues of </w:t>
      </w:r>
      <w:r w:rsidR="00DD7960" w:rsidRPr="00DD7960">
        <w:rPr>
          <w:szCs w:val="27"/>
        </w:rPr>
        <w:t xml:space="preserve">a </w:t>
      </w:r>
      <w:r w:rsidR="00DD7960" w:rsidRPr="00DD7960">
        <w:rPr>
          <w:szCs w:val="29"/>
        </w:rPr>
        <w:t>very general nature</w:t>
      </w:r>
      <w:r w:rsidR="00DD7960">
        <w:rPr>
          <w:szCs w:val="29"/>
        </w:rPr>
        <w:t xml:space="preserve"> </w:t>
      </w:r>
      <w:r w:rsidR="00DD7960" w:rsidRPr="00DD7960">
        <w:rPr>
          <w:szCs w:val="29"/>
        </w:rPr>
        <w:t>and, and course, trusts that courts will interpret any ambiguities</w:t>
      </w:r>
      <w:r w:rsidR="00DD7960">
        <w:rPr>
          <w:szCs w:val="29"/>
        </w:rPr>
        <w:t xml:space="preserve"> </w:t>
      </w:r>
      <w:r w:rsidR="00DD7960" w:rsidRPr="00DD7960">
        <w:rPr>
          <w:szCs w:val="29"/>
        </w:rPr>
        <w:t xml:space="preserve">on these issues in a manner that </w:t>
      </w:r>
      <w:r w:rsidR="00DD7960" w:rsidRPr="00DD7960">
        <w:rPr>
          <w:szCs w:val="28"/>
        </w:rPr>
        <w:t xml:space="preserve">will </w:t>
      </w:r>
      <w:r w:rsidR="00DD7960" w:rsidRPr="00DD7960">
        <w:rPr>
          <w:szCs w:val="29"/>
        </w:rPr>
        <w:t xml:space="preserve">be most favorable </w:t>
      </w:r>
      <w:r w:rsidR="00DD7960" w:rsidRPr="00DD7960">
        <w:rPr>
          <w:szCs w:val="31"/>
        </w:rPr>
        <w:t xml:space="preserve">to </w:t>
      </w:r>
      <w:r w:rsidR="00DD7960" w:rsidRPr="00DD7960">
        <w:rPr>
          <w:szCs w:val="29"/>
        </w:rPr>
        <w:t>tribal</w:t>
      </w:r>
      <w:r w:rsidR="00DD7960">
        <w:rPr>
          <w:szCs w:val="29"/>
        </w:rPr>
        <w:t xml:space="preserve"> </w:t>
      </w:r>
      <w:r w:rsidR="00DD7960" w:rsidRPr="00DD7960">
        <w:rPr>
          <w:szCs w:val="29"/>
        </w:rPr>
        <w:t>interests consistent with the legal standard used by courts for over</w:t>
      </w:r>
      <w:r w:rsidR="00DD7960">
        <w:rPr>
          <w:szCs w:val="29"/>
        </w:rPr>
        <w:t xml:space="preserve"> </w:t>
      </w:r>
      <w:r w:rsidR="00DD7960" w:rsidRPr="00DD7960">
        <w:rPr>
          <w:szCs w:val="29"/>
        </w:rPr>
        <w:t>150 years in deciding cases involving Indian tribes.”</w:t>
      </w:r>
    </w:p>
    <w:p w:rsidR="00DD7960" w:rsidRDefault="00DD7960" w:rsidP="00FD6F10">
      <w:pPr>
        <w:widowControl w:val="0"/>
        <w:autoSpaceDE w:val="0"/>
        <w:autoSpaceDN w:val="0"/>
        <w:adjustRightInd w:val="0"/>
        <w:jc w:val="both"/>
        <w:rPr>
          <w:szCs w:val="29"/>
        </w:rPr>
      </w:pPr>
    </w:p>
    <w:p w:rsidR="00DD7960" w:rsidRPr="00361609" w:rsidRDefault="00DD7960" w:rsidP="00FD6F10">
      <w:pPr>
        <w:jc w:val="both"/>
      </w:pPr>
      <w:r>
        <w:rPr>
          <w:color w:val="000000"/>
        </w:rPr>
        <w:t>Senate Report 100-446, at 15</w:t>
      </w:r>
      <w:r w:rsidRPr="00361609">
        <w:rPr>
          <w:color w:val="000000"/>
        </w:rPr>
        <w:t xml:space="preserve"> (Aug. 3, 1988).</w:t>
      </w:r>
      <w:r w:rsidRPr="00361609">
        <w:t xml:space="preserve">  </w:t>
      </w:r>
    </w:p>
    <w:p w:rsidR="004B3449" w:rsidRPr="00DD7960" w:rsidRDefault="004B3449" w:rsidP="00FD6F10">
      <w:pPr>
        <w:widowControl w:val="0"/>
        <w:autoSpaceDE w:val="0"/>
        <w:autoSpaceDN w:val="0"/>
        <w:adjustRightInd w:val="0"/>
        <w:jc w:val="both"/>
        <w:rPr>
          <w:szCs w:val="29"/>
        </w:rPr>
      </w:pPr>
    </w:p>
    <w:p w:rsidR="008C6ADC" w:rsidRDefault="00DD7960"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This compromise and the balance that it struck </w:t>
      </w:r>
      <w:r w:rsidR="00FB3E19">
        <w:rPr>
          <w:color w:val="000000"/>
        </w:rPr>
        <w:t>were</w:t>
      </w:r>
      <w:r>
        <w:rPr>
          <w:color w:val="000000"/>
        </w:rPr>
        <w:t xml:space="preserve"> short-lived.  Eight years after enactment, the </w:t>
      </w:r>
      <w:r>
        <w:rPr>
          <w:color w:val="000000"/>
        </w:rPr>
        <w:lastRenderedPageBreak/>
        <w:t xml:space="preserve">United States Supreme Court destroyed any balance to the IGRA compacting process in its 1996 decision in </w:t>
      </w:r>
      <w:r w:rsidRPr="00DD7960">
        <w:rPr>
          <w:i/>
          <w:color w:val="000000"/>
        </w:rPr>
        <w:t>Seminole Tribe of Florida v. Florida</w:t>
      </w:r>
      <w:r>
        <w:rPr>
          <w:color w:val="000000"/>
        </w:rPr>
        <w:t xml:space="preserve">.  </w:t>
      </w:r>
      <w:r w:rsidR="004B3449" w:rsidRPr="004B3449">
        <w:rPr>
          <w:color w:val="000000"/>
        </w:rPr>
        <w:t>The Court held that Congress did n</w:t>
      </w:r>
      <w:r>
        <w:rPr>
          <w:color w:val="000000"/>
        </w:rPr>
        <w:t>ot have the power to waive the s</w:t>
      </w:r>
      <w:r w:rsidR="004B3449" w:rsidRPr="004B3449">
        <w:rPr>
          <w:color w:val="000000"/>
        </w:rPr>
        <w:t xml:space="preserve">tates’ </w:t>
      </w:r>
      <w:r>
        <w:rPr>
          <w:color w:val="000000"/>
        </w:rPr>
        <w:t>11</w:t>
      </w:r>
      <w:r w:rsidRPr="00DD7960">
        <w:rPr>
          <w:color w:val="000000"/>
          <w:vertAlign w:val="superscript"/>
        </w:rPr>
        <w:t>th</w:t>
      </w:r>
      <w:r>
        <w:rPr>
          <w:color w:val="000000"/>
        </w:rPr>
        <w:t xml:space="preserve"> Amendment sovereign immunity from suit in f</w:t>
      </w:r>
      <w:r w:rsidR="004B3449" w:rsidRPr="004B3449">
        <w:rPr>
          <w:color w:val="000000"/>
        </w:rPr>
        <w:t xml:space="preserve">ederal court </w:t>
      </w:r>
      <w:r>
        <w:rPr>
          <w:color w:val="000000"/>
        </w:rPr>
        <w:t>to enforce IGRA’s good faith compact negotiation obligation imposed on the states</w:t>
      </w:r>
      <w:r w:rsidR="004B3449" w:rsidRPr="004B3449">
        <w:rPr>
          <w:color w:val="000000"/>
        </w:rPr>
        <w:t xml:space="preserve">. </w:t>
      </w:r>
      <w:r w:rsidR="008C6ADC">
        <w:rPr>
          <w:color w:val="000000"/>
        </w:rPr>
        <w:t xml:space="preserve"> </w:t>
      </w:r>
    </w:p>
    <w:p w:rsidR="008E2C15" w:rsidRDefault="008E2C1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4B3449" w:rsidRPr="00243D07" w:rsidRDefault="008C6ADC"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color w:val="000000"/>
        </w:rPr>
        <w:t xml:space="preserve">Without a method to enforce </w:t>
      </w:r>
      <w:r w:rsidR="00243D07">
        <w:rPr>
          <w:color w:val="000000"/>
        </w:rPr>
        <w:t>the state’s obligation to negotiate or renegotiate compacts in good faith</w:t>
      </w:r>
      <w:r>
        <w:rPr>
          <w:color w:val="000000"/>
        </w:rPr>
        <w:t xml:space="preserve">, many tribal governments are </w:t>
      </w:r>
      <w:r w:rsidR="00243D07">
        <w:rPr>
          <w:color w:val="000000"/>
        </w:rPr>
        <w:t>left with the no-win proposition of either not moving forward on a project that could be its only source of non-federal revenue or succumbing to what could be viewed as a direct violation of the Act</w:t>
      </w:r>
      <w:r>
        <w:rPr>
          <w:color w:val="000000"/>
        </w:rPr>
        <w:t xml:space="preserve">. </w:t>
      </w:r>
      <w:r w:rsidR="00243D07">
        <w:rPr>
          <w:color w:val="000000"/>
        </w:rPr>
        <w:t xml:space="preserve"> </w:t>
      </w:r>
      <w:r w:rsidR="004B3449" w:rsidRPr="004B3449">
        <w:rPr>
          <w:color w:val="000000"/>
        </w:rPr>
        <w:t xml:space="preserve">IGRA makes clear that the compacting process cannot be used by the states to impose any tax or other fee upon the tribes that is not directly related to its regulatory expenses under the compact. </w:t>
      </w:r>
      <w:r w:rsidR="00243D07">
        <w:rPr>
          <w:color w:val="000000"/>
        </w:rPr>
        <w:t>The</w:t>
      </w:r>
      <w:r w:rsidR="004B3449" w:rsidRPr="004B3449">
        <w:rPr>
          <w:color w:val="000000"/>
        </w:rPr>
        <w:t xml:space="preserve"> Act </w:t>
      </w:r>
      <w:r w:rsidR="00243D07">
        <w:rPr>
          <w:color w:val="000000"/>
        </w:rPr>
        <w:t>provides</w:t>
      </w:r>
      <w:r w:rsidR="004B3449" w:rsidRPr="004B3449">
        <w:rPr>
          <w:color w:val="000000"/>
        </w:rPr>
        <w:t>—</w:t>
      </w:r>
      <w:r w:rsidR="00243D07">
        <w:rPr>
          <w:color w:val="000000"/>
        </w:rPr>
        <w:t xml:space="preserve"> </w:t>
      </w:r>
      <w:r w:rsidR="004B3449" w:rsidRPr="004B3449">
        <w:rPr>
          <w:color w:val="000000"/>
          <w:szCs w:val="18"/>
        </w:rPr>
        <w:t xml:space="preserve">“No State may refuse to enter into </w:t>
      </w:r>
      <w:r w:rsidR="00243D07">
        <w:rPr>
          <w:color w:val="000000"/>
          <w:szCs w:val="18"/>
        </w:rPr>
        <w:t xml:space="preserve">[compact] </w:t>
      </w:r>
      <w:r w:rsidR="004B3449" w:rsidRPr="004B3449">
        <w:rPr>
          <w:color w:val="000000"/>
          <w:szCs w:val="18"/>
        </w:rPr>
        <w:t xml:space="preserve">negotiations </w:t>
      </w:r>
      <w:r w:rsidR="00243D07">
        <w:rPr>
          <w:color w:val="000000"/>
          <w:szCs w:val="18"/>
        </w:rPr>
        <w:t>…</w:t>
      </w:r>
      <w:r w:rsidR="004B3449" w:rsidRPr="004B3449">
        <w:rPr>
          <w:color w:val="000000"/>
          <w:szCs w:val="18"/>
        </w:rPr>
        <w:t xml:space="preserve"> based upon a lack of authority to impose such a tax, fee, charge, or other assessment.”</w:t>
      </w:r>
      <w:r w:rsidR="00954E04">
        <w:rPr>
          <w:color w:val="000000"/>
          <w:szCs w:val="18"/>
        </w:rPr>
        <w:t xml:space="preserve">  </w:t>
      </w:r>
    </w:p>
    <w:p w:rsidR="008E2C15" w:rsidRDefault="008E2C1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4B3449" w:rsidRPr="004B3449" w:rsidRDefault="008C6ADC" w:rsidP="00FD6F10">
      <w:pPr>
        <w:jc w:val="both"/>
        <w:rPr>
          <w:color w:val="000000"/>
        </w:rPr>
      </w:pPr>
      <w:r>
        <w:rPr>
          <w:color w:val="000000"/>
        </w:rPr>
        <w:t xml:space="preserve">NIGA’s Member Tribes have consistently held the position </w:t>
      </w:r>
      <w:r w:rsidRPr="00243D07">
        <w:rPr>
          <w:i/>
          <w:color w:val="000000"/>
        </w:rPr>
        <w:t>against</w:t>
      </w:r>
      <w:r>
        <w:rPr>
          <w:color w:val="000000"/>
        </w:rPr>
        <w:t xml:space="preserve"> opening</w:t>
      </w:r>
      <w:r w:rsidR="004B3449" w:rsidRPr="004B3449">
        <w:rPr>
          <w:color w:val="000000"/>
        </w:rPr>
        <w:t xml:space="preserve"> IGRA</w:t>
      </w:r>
      <w:r>
        <w:rPr>
          <w:color w:val="000000"/>
        </w:rPr>
        <w:t xml:space="preserve"> for amendment.  However, if Congress makes the decision to alter the Act, the first provision in any proposal must either restore balance to the compacting process or provide teeth to an alternative administrative compacting process.</w:t>
      </w:r>
      <w:r w:rsidR="004B3449" w:rsidRPr="004B3449">
        <w:rPr>
          <w:color w:val="000000"/>
        </w:rPr>
        <w:t xml:space="preserve"> </w:t>
      </w:r>
    </w:p>
    <w:p w:rsidR="00DC5BAF" w:rsidRDefault="00DC5BAF" w:rsidP="00FD6F10">
      <w:pPr>
        <w:jc w:val="both"/>
        <w:rPr>
          <w:color w:val="000000"/>
        </w:rPr>
      </w:pPr>
    </w:p>
    <w:p w:rsidR="00115C51" w:rsidRPr="00361609" w:rsidRDefault="00115C51" w:rsidP="00FD6F10">
      <w:pPr>
        <w:jc w:val="both"/>
        <w:rPr>
          <w:b/>
          <w:i/>
          <w:color w:val="000000"/>
        </w:rPr>
      </w:pPr>
      <w:r w:rsidRPr="00361609">
        <w:rPr>
          <w:color w:val="000000"/>
        </w:rPr>
        <w:tab/>
      </w:r>
      <w:r w:rsidRPr="00361609">
        <w:rPr>
          <w:b/>
          <w:i/>
          <w:color w:val="000000"/>
        </w:rPr>
        <w:t>Class II Indian Gaming</w:t>
      </w:r>
    </w:p>
    <w:p w:rsidR="008C6ADC" w:rsidRDefault="008C6ADC" w:rsidP="00FD6F10">
      <w:pPr>
        <w:jc w:val="both"/>
        <w:rPr>
          <w:color w:val="000000"/>
        </w:rPr>
      </w:pPr>
    </w:p>
    <w:p w:rsidR="00115C51" w:rsidRPr="00361609" w:rsidRDefault="008C6ADC" w:rsidP="00FD6F10">
      <w:pPr>
        <w:jc w:val="both"/>
        <w:rPr>
          <w:color w:val="000000"/>
        </w:rPr>
      </w:pPr>
      <w:r>
        <w:rPr>
          <w:color w:val="000000"/>
        </w:rPr>
        <w:t xml:space="preserve">Another aspect of Indian gaming that </w:t>
      </w:r>
      <w:r w:rsidR="00DE6F0F">
        <w:rPr>
          <w:color w:val="000000"/>
        </w:rPr>
        <w:t xml:space="preserve">has undergone continuous </w:t>
      </w:r>
      <w:r>
        <w:rPr>
          <w:color w:val="000000"/>
        </w:rPr>
        <w:t>change</w:t>
      </w:r>
      <w:r w:rsidR="00A60BBF">
        <w:rPr>
          <w:color w:val="000000"/>
        </w:rPr>
        <w:t xml:space="preserve"> over the first twenty-five years and will continue to face change</w:t>
      </w:r>
      <w:r>
        <w:rPr>
          <w:color w:val="000000"/>
        </w:rPr>
        <w:t xml:space="preserve"> is the class II industry. Indian Country </w:t>
      </w:r>
      <w:r w:rsidR="00DE6F0F">
        <w:rPr>
          <w:color w:val="000000"/>
        </w:rPr>
        <w:t xml:space="preserve">is vigilant that </w:t>
      </w:r>
      <w:r>
        <w:rPr>
          <w:color w:val="000000"/>
        </w:rPr>
        <w:t xml:space="preserve">any changes to class II Indian gaming are </w:t>
      </w:r>
      <w:r w:rsidR="00A60BBF">
        <w:rPr>
          <w:color w:val="000000"/>
        </w:rPr>
        <w:t xml:space="preserve">positive changes </w:t>
      </w:r>
      <w:r>
        <w:rPr>
          <w:color w:val="000000"/>
        </w:rPr>
        <w:t>c</w:t>
      </w:r>
      <w:r w:rsidR="006C320E">
        <w:rPr>
          <w:color w:val="000000"/>
        </w:rPr>
        <w:t xml:space="preserve">onsistent with Congress’ intent that tribal governments take advantage of the </w:t>
      </w:r>
      <w:r w:rsidR="00A60BBF">
        <w:rPr>
          <w:color w:val="000000"/>
        </w:rPr>
        <w:t>advancing</w:t>
      </w:r>
      <w:r w:rsidR="006C320E">
        <w:rPr>
          <w:color w:val="000000"/>
        </w:rPr>
        <w:t xml:space="preserve"> technology to faci</w:t>
      </w:r>
      <w:r w:rsidR="00A60BBF">
        <w:rPr>
          <w:color w:val="000000"/>
        </w:rPr>
        <w:t xml:space="preserve">litate the play of such games. </w:t>
      </w:r>
    </w:p>
    <w:p w:rsidR="00954E04" w:rsidRDefault="00954E04" w:rsidP="00FD6F10">
      <w:pPr>
        <w:jc w:val="both"/>
        <w:rPr>
          <w:rFonts w:cs="Times"/>
          <w:color w:val="FF0000"/>
          <w:szCs w:val="22"/>
        </w:rPr>
      </w:pPr>
    </w:p>
    <w:p w:rsidR="00115C51" w:rsidRPr="00361609" w:rsidRDefault="008C6ADC" w:rsidP="00FD6F10">
      <w:pPr>
        <w:jc w:val="both"/>
        <w:rPr>
          <w:color w:val="000000"/>
        </w:rPr>
      </w:pPr>
      <w:r>
        <w:rPr>
          <w:rFonts w:cs="Times"/>
          <w:szCs w:val="22"/>
        </w:rPr>
        <w:t xml:space="preserve">As discussed above, the </w:t>
      </w:r>
      <w:r w:rsidRPr="003D3727">
        <w:rPr>
          <w:rFonts w:cs="Times"/>
          <w:i/>
          <w:szCs w:val="22"/>
        </w:rPr>
        <w:t>Seminole</w:t>
      </w:r>
      <w:r>
        <w:rPr>
          <w:rFonts w:cs="Times"/>
          <w:szCs w:val="22"/>
        </w:rPr>
        <w:t xml:space="preserve"> decision destroyed the </w:t>
      </w:r>
      <w:r w:rsidR="00CC7671" w:rsidRPr="00361609">
        <w:rPr>
          <w:rFonts w:cs="Times"/>
          <w:szCs w:val="22"/>
        </w:rPr>
        <w:t xml:space="preserve">careful balance </w:t>
      </w:r>
      <w:r w:rsidR="006C320E">
        <w:rPr>
          <w:rFonts w:cs="Times"/>
          <w:szCs w:val="22"/>
        </w:rPr>
        <w:t>that IGRA struck in the</w:t>
      </w:r>
      <w:r w:rsidR="00CC7671" w:rsidRPr="00361609">
        <w:rPr>
          <w:rFonts w:cs="Times"/>
          <w:szCs w:val="22"/>
        </w:rPr>
        <w:t xml:space="preserve"> </w:t>
      </w:r>
      <w:r w:rsidR="00CC7671" w:rsidRPr="00361609">
        <w:rPr>
          <w:rFonts w:cs="Times"/>
          <w:szCs w:val="23"/>
        </w:rPr>
        <w:t xml:space="preserve">class </w:t>
      </w:r>
      <w:r w:rsidR="00CC7671" w:rsidRPr="00361609">
        <w:rPr>
          <w:rFonts w:cs="Times"/>
          <w:bCs/>
          <w:szCs w:val="23"/>
        </w:rPr>
        <w:t xml:space="preserve">III tribal-state </w:t>
      </w:r>
      <w:r w:rsidR="00CC7671" w:rsidRPr="00361609">
        <w:rPr>
          <w:rFonts w:cs="Times"/>
          <w:szCs w:val="23"/>
        </w:rPr>
        <w:t xml:space="preserve">gaming </w:t>
      </w:r>
      <w:r w:rsidR="006C320E">
        <w:rPr>
          <w:rFonts w:cs="Times"/>
          <w:szCs w:val="23"/>
        </w:rPr>
        <w:t>compacting process</w:t>
      </w:r>
      <w:r w:rsidR="00CC7671" w:rsidRPr="00361609">
        <w:rPr>
          <w:rFonts w:cs="Times"/>
          <w:szCs w:val="23"/>
        </w:rPr>
        <w:t>.  This decision has resulted in a number of state</w:t>
      </w:r>
      <w:r w:rsidR="004035BD" w:rsidRPr="00361609">
        <w:rPr>
          <w:rFonts w:cs="Times"/>
          <w:szCs w:val="23"/>
        </w:rPr>
        <w:t>s</w:t>
      </w:r>
      <w:r w:rsidR="006C320E">
        <w:rPr>
          <w:rFonts w:cs="Times"/>
          <w:szCs w:val="23"/>
        </w:rPr>
        <w:t xml:space="preserve"> </w:t>
      </w:r>
      <w:r w:rsidR="004035BD" w:rsidRPr="00361609">
        <w:rPr>
          <w:rFonts w:cs="Times"/>
          <w:szCs w:val="23"/>
        </w:rPr>
        <w:t>that</w:t>
      </w:r>
      <w:r w:rsidR="00CC7671" w:rsidRPr="00361609">
        <w:rPr>
          <w:rFonts w:cs="Times"/>
          <w:szCs w:val="23"/>
        </w:rPr>
        <w:t xml:space="preserve"> condone and</w:t>
      </w:r>
      <w:r w:rsidR="006C320E">
        <w:rPr>
          <w:rFonts w:cs="Times"/>
          <w:szCs w:val="23"/>
        </w:rPr>
        <w:t xml:space="preserve"> regulate other forms of gaming essentially</w:t>
      </w:r>
      <w:r w:rsidR="00CC7671" w:rsidRPr="00361609">
        <w:rPr>
          <w:rFonts w:cs="Times"/>
          <w:szCs w:val="23"/>
        </w:rPr>
        <w:t xml:space="preserve"> exercising veto authority over class III Indian gaming.  As a result, </w:t>
      </w:r>
      <w:r w:rsidR="006C320E">
        <w:rPr>
          <w:rFonts w:cs="Times"/>
          <w:szCs w:val="23"/>
        </w:rPr>
        <w:t>some tribes</w:t>
      </w:r>
      <w:r w:rsidR="00CC7671" w:rsidRPr="00361609">
        <w:rPr>
          <w:rFonts w:cs="Times"/>
          <w:szCs w:val="23"/>
        </w:rPr>
        <w:t xml:space="preserve"> rely solely on class II gaming to g</w:t>
      </w:r>
      <w:r w:rsidR="00FD6F10">
        <w:rPr>
          <w:rFonts w:cs="Times"/>
          <w:szCs w:val="23"/>
        </w:rPr>
        <w:t xml:space="preserve">enerate </w:t>
      </w:r>
      <w:r w:rsidR="00CC7671" w:rsidRPr="00361609">
        <w:rPr>
          <w:rFonts w:cs="Times"/>
          <w:szCs w:val="23"/>
        </w:rPr>
        <w:t xml:space="preserve">governmental revenue to provide essential services to meet the many needs of their communities.  </w:t>
      </w:r>
    </w:p>
    <w:p w:rsidR="00C538EF" w:rsidRDefault="00C538EF" w:rsidP="00FD6F10">
      <w:pPr>
        <w:jc w:val="both"/>
        <w:rPr>
          <w:color w:val="000000"/>
        </w:rPr>
      </w:pPr>
    </w:p>
    <w:p w:rsidR="00C538EF" w:rsidRPr="00C538EF" w:rsidRDefault="00C538EF" w:rsidP="00FD6F10">
      <w:pPr>
        <w:jc w:val="both"/>
        <w:rPr>
          <w:color w:val="000000"/>
        </w:rPr>
      </w:pPr>
      <w:r>
        <w:rPr>
          <w:color w:val="000000"/>
        </w:rPr>
        <w:t xml:space="preserve">IGRA defines class II Indian gaming as </w:t>
      </w:r>
      <w:r w:rsidRPr="00C538EF">
        <w:rPr>
          <w:color w:val="000000"/>
        </w:rPr>
        <w:t>the game of chance commonly known as bingo (whether or not played in connection with electronic or technologic</w:t>
      </w:r>
      <w:r w:rsidR="00A60BBF">
        <w:rPr>
          <w:color w:val="000000"/>
        </w:rPr>
        <w:t xml:space="preserve"> aids</w:t>
      </w:r>
      <w:r w:rsidRPr="00C538EF">
        <w:rPr>
          <w:color w:val="000000"/>
        </w:rPr>
        <w:t>),</w:t>
      </w:r>
      <w:r>
        <w:rPr>
          <w:color w:val="000000"/>
        </w:rPr>
        <w:t xml:space="preserve"> </w:t>
      </w:r>
      <w:r w:rsidRPr="00C538EF">
        <w:rPr>
          <w:i/>
          <w:iCs/>
          <w:color w:val="000000"/>
        </w:rPr>
        <w:t>played for monetary prizes, with cards bearing numbers or other designations</w:t>
      </w:r>
      <w:r w:rsidRPr="00C538EF">
        <w:rPr>
          <w:color w:val="000000"/>
        </w:rPr>
        <w:t xml:space="preserve">, in which </w:t>
      </w:r>
      <w:r w:rsidRPr="00C538EF">
        <w:rPr>
          <w:i/>
          <w:iCs/>
          <w:color w:val="000000"/>
        </w:rPr>
        <w:t>the card holder covers numbers</w:t>
      </w:r>
      <w:r w:rsidRPr="00C538EF">
        <w:rPr>
          <w:color w:val="000000"/>
        </w:rPr>
        <w:t>, in which</w:t>
      </w:r>
      <w:r>
        <w:rPr>
          <w:color w:val="000000"/>
        </w:rPr>
        <w:t xml:space="preserve"> </w:t>
      </w:r>
      <w:r w:rsidRPr="00C538EF">
        <w:rPr>
          <w:i/>
          <w:iCs/>
          <w:color w:val="000000"/>
        </w:rPr>
        <w:t>the game is won by the first person covering an arrangement</w:t>
      </w:r>
      <w:r w:rsidRPr="00C538EF">
        <w:rPr>
          <w:color w:val="000000"/>
        </w:rPr>
        <w:t>, including (if played in the same location) pull-tabs, lotto, punch boards, tip jars, instant bingo, and other games similar to bingo</w:t>
      </w:r>
      <w:r>
        <w:rPr>
          <w:color w:val="000000"/>
        </w:rPr>
        <w:t xml:space="preserve">.  </w:t>
      </w:r>
    </w:p>
    <w:p w:rsidR="00C538EF" w:rsidRDefault="00C538EF" w:rsidP="00FD6F10">
      <w:pPr>
        <w:jc w:val="both"/>
        <w:rPr>
          <w:color w:val="000000"/>
        </w:rPr>
      </w:pPr>
    </w:p>
    <w:p w:rsidR="00115C51" w:rsidRPr="00A60BBF" w:rsidRDefault="00A60BBF" w:rsidP="00FD6F10">
      <w:pPr>
        <w:jc w:val="both"/>
        <w:rPr>
          <w:color w:val="000000"/>
        </w:rPr>
      </w:pPr>
      <w:r>
        <w:t>This Committee’s</w:t>
      </w:r>
      <w:r w:rsidR="00CC7671" w:rsidRPr="00A60BBF">
        <w:t xml:space="preserve"> Report to IGRA </w:t>
      </w:r>
      <w:r>
        <w:t>clarifies the intent the definition of class II gaming is not static, and instead must be flexible to enable tribal governments to employ advanced and latest technology</w:t>
      </w:r>
      <w:r w:rsidR="00CC7671" w:rsidRPr="00A60BBF">
        <w:t>:</w:t>
      </w:r>
    </w:p>
    <w:p w:rsidR="00115C51" w:rsidRPr="00A60BBF" w:rsidRDefault="00115C51" w:rsidP="00FD6F10">
      <w:pPr>
        <w:jc w:val="both"/>
        <w:rPr>
          <w:color w:val="000000"/>
        </w:rPr>
      </w:pPr>
    </w:p>
    <w:p w:rsidR="00A60BBF" w:rsidRPr="00A60BBF" w:rsidRDefault="00CC7671" w:rsidP="00FD6F10">
      <w:pPr>
        <w:widowControl w:val="0"/>
        <w:autoSpaceDE w:val="0"/>
        <w:autoSpaceDN w:val="0"/>
        <w:adjustRightInd w:val="0"/>
        <w:ind w:left="720" w:right="720"/>
        <w:jc w:val="both"/>
        <w:rPr>
          <w:szCs w:val="29"/>
        </w:rPr>
      </w:pPr>
      <w:r w:rsidRPr="00A60BBF">
        <w:rPr>
          <w:rFonts w:cs="Arial"/>
        </w:rPr>
        <w:t xml:space="preserve">The Committee specifically rejects any inference that tribes should restrict Class II games to existing game sizes, levels of participation, or current technology. The Committee intends that tribes be given the opportunity to take advantage of modern methods of conducting Class II games and the language regarding </w:t>
      </w:r>
      <w:r w:rsidRPr="00A60BBF">
        <w:rPr>
          <w:rFonts w:cs="Arial"/>
        </w:rPr>
        <w:lastRenderedPageBreak/>
        <w:t>technology is designed to provide maximum flexibility.</w:t>
      </w:r>
      <w:r w:rsidR="00A60BBF" w:rsidRPr="00A60BBF">
        <w:rPr>
          <w:rFonts w:cs="Arial"/>
        </w:rPr>
        <w:t xml:space="preserve"> </w:t>
      </w:r>
      <w:r w:rsidR="00A60BBF" w:rsidRPr="00A60BBF">
        <w:rPr>
          <w:szCs w:val="29"/>
        </w:rPr>
        <w:t>In this regard, the Commi</w:t>
      </w:r>
      <w:r w:rsidR="00A60BBF">
        <w:rPr>
          <w:szCs w:val="29"/>
        </w:rPr>
        <w:t xml:space="preserve">ttee recognizes that tribes may </w:t>
      </w:r>
      <w:r w:rsidR="00A60BBF" w:rsidRPr="00A60BBF">
        <w:rPr>
          <w:szCs w:val="29"/>
        </w:rPr>
        <w:t xml:space="preserve">wish </w:t>
      </w:r>
      <w:r w:rsidR="00A60BBF" w:rsidRPr="00A60BBF">
        <w:rPr>
          <w:szCs w:val="28"/>
        </w:rPr>
        <w:t xml:space="preserve">to </w:t>
      </w:r>
      <w:r w:rsidR="00A60BBF" w:rsidRPr="00A60BBF">
        <w:rPr>
          <w:szCs w:val="29"/>
        </w:rPr>
        <w:t xml:space="preserve">join </w:t>
      </w:r>
      <w:r w:rsidR="00A60BBF" w:rsidRPr="00A60BBF">
        <w:rPr>
          <w:szCs w:val="28"/>
        </w:rPr>
        <w:t xml:space="preserve">with </w:t>
      </w:r>
      <w:r w:rsidR="00A60BBF" w:rsidRPr="00A60BBF">
        <w:rPr>
          <w:szCs w:val="29"/>
        </w:rPr>
        <w:t xml:space="preserve">other tribes to coordinate their class </w:t>
      </w:r>
      <w:r w:rsidR="00A60BBF">
        <w:rPr>
          <w:szCs w:val="30"/>
        </w:rPr>
        <w:t>II</w:t>
      </w:r>
      <w:r w:rsidR="00A60BBF" w:rsidRPr="00A60BBF">
        <w:rPr>
          <w:szCs w:val="30"/>
        </w:rPr>
        <w:t xml:space="preserve"> </w:t>
      </w:r>
      <w:r w:rsidR="00A60BBF" w:rsidRPr="00A60BBF">
        <w:rPr>
          <w:szCs w:val="29"/>
        </w:rPr>
        <w:t>operations</w:t>
      </w:r>
      <w:r w:rsidR="00A60BBF">
        <w:rPr>
          <w:szCs w:val="29"/>
        </w:rPr>
        <w:t xml:space="preserve"> and thereby enhance the potentia</w:t>
      </w:r>
      <w:r w:rsidR="00A60BBF" w:rsidRPr="00A60BBF">
        <w:rPr>
          <w:szCs w:val="29"/>
        </w:rPr>
        <w:t xml:space="preserve">l </w:t>
      </w:r>
      <w:r w:rsidR="00A60BBF">
        <w:rPr>
          <w:szCs w:val="29"/>
        </w:rPr>
        <w:t>o</w:t>
      </w:r>
      <w:r w:rsidR="00A60BBF" w:rsidRPr="00A60BBF">
        <w:rPr>
          <w:szCs w:val="29"/>
        </w:rPr>
        <w:t>f increasing revenues. For example,</w:t>
      </w:r>
      <w:r w:rsidR="00A60BBF">
        <w:rPr>
          <w:szCs w:val="29"/>
        </w:rPr>
        <w:t xml:space="preserve"> linking participant </w:t>
      </w:r>
      <w:r w:rsidR="00A60BBF" w:rsidRPr="00A60BBF">
        <w:rPr>
          <w:szCs w:val="29"/>
        </w:rPr>
        <w:t xml:space="preserve">players </w:t>
      </w:r>
      <w:r w:rsidR="00A60BBF" w:rsidRPr="00A60BBF">
        <w:rPr>
          <w:szCs w:val="31"/>
        </w:rPr>
        <w:t xml:space="preserve">at </w:t>
      </w:r>
      <w:r w:rsidR="00A60BBF" w:rsidRPr="00A60BBF">
        <w:rPr>
          <w:szCs w:val="29"/>
        </w:rPr>
        <w:t>various reservations whether</w:t>
      </w:r>
      <w:r w:rsidR="00A60BBF">
        <w:rPr>
          <w:szCs w:val="29"/>
        </w:rPr>
        <w:t xml:space="preserve"> </w:t>
      </w:r>
      <w:r w:rsidR="00A60BBF" w:rsidRPr="00A60BBF">
        <w:rPr>
          <w:szCs w:val="29"/>
        </w:rPr>
        <w:t>i</w:t>
      </w:r>
      <w:r w:rsidR="00A60BBF">
        <w:rPr>
          <w:szCs w:val="29"/>
        </w:rPr>
        <w:t>n the same or different States, by</w:t>
      </w:r>
      <w:r w:rsidR="00A60BBF" w:rsidRPr="00A60BBF">
        <w:rPr>
          <w:szCs w:val="29"/>
        </w:rPr>
        <w:t xml:space="preserve"> means of telephone, cable, television or satellite may be </w:t>
      </w:r>
      <w:r w:rsidR="00A60BBF" w:rsidRPr="00A60BBF">
        <w:rPr>
          <w:szCs w:val="27"/>
        </w:rPr>
        <w:t xml:space="preserve">a </w:t>
      </w:r>
      <w:r w:rsidR="00A60BBF">
        <w:rPr>
          <w:szCs w:val="29"/>
        </w:rPr>
        <w:t xml:space="preserve">reasonable approach for tribes to </w:t>
      </w:r>
      <w:r w:rsidR="00A60BBF" w:rsidRPr="00A60BBF">
        <w:rPr>
          <w:szCs w:val="29"/>
        </w:rPr>
        <w:t>take.</w:t>
      </w:r>
      <w:r w:rsidR="00A60BBF">
        <w:rPr>
          <w:szCs w:val="29"/>
        </w:rPr>
        <w:t xml:space="preserve"> </w:t>
      </w:r>
      <w:r w:rsidR="00A60BBF" w:rsidRPr="00A60BBF">
        <w:rPr>
          <w:szCs w:val="29"/>
        </w:rPr>
        <w:t>Simultaneous games participation between and among reservations</w:t>
      </w:r>
      <w:r w:rsidR="00A60BBF">
        <w:rPr>
          <w:szCs w:val="29"/>
        </w:rPr>
        <w:t xml:space="preserve"> </w:t>
      </w:r>
      <w:r w:rsidR="00A60BBF" w:rsidRPr="00A60BBF">
        <w:rPr>
          <w:szCs w:val="29"/>
        </w:rPr>
        <w:t>can be made practical by use of computers and telecommunications</w:t>
      </w:r>
      <w:r w:rsidR="00A60BBF">
        <w:rPr>
          <w:szCs w:val="29"/>
        </w:rPr>
        <w:t xml:space="preserve"> </w:t>
      </w:r>
      <w:r w:rsidR="00A60BBF" w:rsidRPr="00A60BBF">
        <w:rPr>
          <w:szCs w:val="29"/>
        </w:rPr>
        <w:t xml:space="preserve">technology </w:t>
      </w:r>
      <w:r w:rsidR="00A60BBF" w:rsidRPr="00A60BBF">
        <w:rPr>
          <w:szCs w:val="30"/>
        </w:rPr>
        <w:t xml:space="preserve">as </w:t>
      </w:r>
      <w:r w:rsidR="00A60BBF" w:rsidRPr="00A60BBF">
        <w:rPr>
          <w:szCs w:val="29"/>
        </w:rPr>
        <w:t xml:space="preserve">long </w:t>
      </w:r>
      <w:r w:rsidR="00A60BBF" w:rsidRPr="00A60BBF">
        <w:rPr>
          <w:szCs w:val="27"/>
        </w:rPr>
        <w:t xml:space="preserve">as </w:t>
      </w:r>
      <w:r w:rsidR="00A60BBF" w:rsidRPr="00A60BBF">
        <w:rPr>
          <w:szCs w:val="29"/>
        </w:rPr>
        <w:t>the use of such technology does not change</w:t>
      </w:r>
      <w:r w:rsidR="00A60BBF">
        <w:rPr>
          <w:szCs w:val="29"/>
        </w:rPr>
        <w:t xml:space="preserve"> </w:t>
      </w:r>
      <w:r w:rsidR="00A60BBF" w:rsidRPr="00A60BBF">
        <w:rPr>
          <w:szCs w:val="29"/>
        </w:rPr>
        <w:t xml:space="preserve">the fundamental characteristics of the bingo or lotto games and </w:t>
      </w:r>
      <w:r w:rsidR="00A60BBF" w:rsidRPr="00A60BBF">
        <w:rPr>
          <w:szCs w:val="28"/>
        </w:rPr>
        <w:t>as</w:t>
      </w:r>
      <w:r w:rsidR="00A60BBF">
        <w:rPr>
          <w:szCs w:val="29"/>
        </w:rPr>
        <w:t xml:space="preserve"> </w:t>
      </w:r>
      <w:r w:rsidR="00A60BBF" w:rsidRPr="00A60BBF">
        <w:rPr>
          <w:szCs w:val="29"/>
        </w:rPr>
        <w:t xml:space="preserve">long </w:t>
      </w:r>
      <w:r w:rsidR="00A60BBF" w:rsidRPr="00A60BBF">
        <w:rPr>
          <w:szCs w:val="28"/>
        </w:rPr>
        <w:t xml:space="preserve">as </w:t>
      </w:r>
      <w:r w:rsidR="00A60BBF" w:rsidRPr="00A60BBF">
        <w:rPr>
          <w:szCs w:val="29"/>
        </w:rPr>
        <w:t>such games are otherwise operated in accordance with applicable Federal communications law. In other words, such technology</w:t>
      </w:r>
      <w:r w:rsidR="00A60BBF">
        <w:rPr>
          <w:szCs w:val="29"/>
        </w:rPr>
        <w:t xml:space="preserve"> </w:t>
      </w:r>
      <w:r w:rsidR="00A60BBF" w:rsidRPr="00A60BBF">
        <w:rPr>
          <w:szCs w:val="29"/>
        </w:rPr>
        <w:t xml:space="preserve">would merely broaden the </w:t>
      </w:r>
      <w:r w:rsidR="00A60BBF">
        <w:rPr>
          <w:szCs w:val="29"/>
        </w:rPr>
        <w:t>potential participation levels…</w:t>
      </w:r>
      <w:r w:rsidR="00A60BBF" w:rsidRPr="00A60BBF">
        <w:rPr>
          <w:szCs w:val="29"/>
        </w:rPr>
        <w:t>.</w:t>
      </w:r>
    </w:p>
    <w:p w:rsidR="00A60BBF" w:rsidRDefault="00A60BBF" w:rsidP="00FD6F10">
      <w:pPr>
        <w:widowControl w:val="0"/>
        <w:autoSpaceDE w:val="0"/>
        <w:autoSpaceDN w:val="0"/>
        <w:adjustRightInd w:val="0"/>
        <w:ind w:left="720" w:right="720"/>
        <w:jc w:val="both"/>
        <w:rPr>
          <w:szCs w:val="29"/>
        </w:rPr>
      </w:pPr>
    </w:p>
    <w:p w:rsidR="009B49D4" w:rsidRPr="00A60BBF" w:rsidRDefault="00A60BBF" w:rsidP="00FD6F10">
      <w:pPr>
        <w:widowControl w:val="0"/>
        <w:autoSpaceDE w:val="0"/>
        <w:autoSpaceDN w:val="0"/>
        <w:adjustRightInd w:val="0"/>
        <w:ind w:left="720" w:right="720"/>
        <w:jc w:val="both"/>
        <w:rPr>
          <w:szCs w:val="29"/>
        </w:rPr>
      </w:pPr>
      <w:r w:rsidRPr="00A60BBF">
        <w:rPr>
          <w:szCs w:val="29"/>
        </w:rPr>
        <w:t>Section (4)(8)(A) also makes clear the Committee's intent tha</w:t>
      </w:r>
      <w:r>
        <w:rPr>
          <w:szCs w:val="29"/>
        </w:rPr>
        <w:t xml:space="preserve">t </w:t>
      </w:r>
      <w:r w:rsidRPr="00A60BBF">
        <w:rPr>
          <w:szCs w:val="29"/>
        </w:rPr>
        <w:t>pull-tabs, punch boards, tip jars, instant bingo and similar sub</w:t>
      </w:r>
      <w:r>
        <w:rPr>
          <w:szCs w:val="29"/>
        </w:rPr>
        <w:t>-</w:t>
      </w:r>
      <w:r w:rsidRPr="00A60BBF">
        <w:rPr>
          <w:szCs w:val="29"/>
        </w:rPr>
        <w:t>games</w:t>
      </w:r>
      <w:r>
        <w:rPr>
          <w:szCs w:val="29"/>
        </w:rPr>
        <w:t xml:space="preserve"> </w:t>
      </w:r>
      <w:r w:rsidRPr="00A60BBF">
        <w:rPr>
          <w:szCs w:val="29"/>
        </w:rPr>
        <w:t xml:space="preserve">may be played </w:t>
      </w:r>
      <w:r w:rsidRPr="00A60BBF">
        <w:rPr>
          <w:szCs w:val="28"/>
        </w:rPr>
        <w:t xml:space="preserve">as </w:t>
      </w:r>
      <w:r w:rsidRPr="00A60BBF">
        <w:rPr>
          <w:szCs w:val="29"/>
        </w:rPr>
        <w:t>integral parts of bingo enterprises regulated</w:t>
      </w:r>
      <w:r>
        <w:rPr>
          <w:szCs w:val="29"/>
        </w:rPr>
        <w:t xml:space="preserve"> </w:t>
      </w:r>
      <w:r w:rsidRPr="00A60BBF">
        <w:rPr>
          <w:szCs w:val="29"/>
        </w:rPr>
        <w:t xml:space="preserve">by the act and, </w:t>
      </w:r>
      <w:r w:rsidRPr="00A60BBF">
        <w:rPr>
          <w:szCs w:val="28"/>
        </w:rPr>
        <w:t xml:space="preserve">as </w:t>
      </w:r>
      <w:r w:rsidRPr="00A60BBF">
        <w:rPr>
          <w:szCs w:val="29"/>
        </w:rPr>
        <w:t>opposed to free standing enterprises of these</w:t>
      </w:r>
      <w:r>
        <w:rPr>
          <w:szCs w:val="29"/>
        </w:rPr>
        <w:t xml:space="preserve"> </w:t>
      </w:r>
      <w:r w:rsidRPr="00A60BBF">
        <w:rPr>
          <w:szCs w:val="29"/>
        </w:rPr>
        <w:t xml:space="preserve">sub-games, state regulatory laws are not applicable </w:t>
      </w:r>
      <w:r w:rsidRPr="00A60BBF">
        <w:rPr>
          <w:szCs w:val="30"/>
        </w:rPr>
        <w:t xml:space="preserve">to </w:t>
      </w:r>
      <w:r w:rsidRPr="00A60BBF">
        <w:rPr>
          <w:szCs w:val="29"/>
        </w:rPr>
        <w:t>such sub</w:t>
      </w:r>
      <w:r>
        <w:rPr>
          <w:szCs w:val="29"/>
        </w:rPr>
        <w:t>-</w:t>
      </w:r>
      <w:r w:rsidRPr="00A60BBF">
        <w:rPr>
          <w:szCs w:val="29"/>
        </w:rPr>
        <w:t>games,</w:t>
      </w:r>
      <w:r>
        <w:rPr>
          <w:szCs w:val="29"/>
        </w:rPr>
        <w:t xml:space="preserve"> </w:t>
      </w:r>
      <w:r w:rsidRPr="00A60BBF">
        <w:rPr>
          <w:szCs w:val="29"/>
        </w:rPr>
        <w:t>just as they are not applicable to Indian bingo.</w:t>
      </w:r>
    </w:p>
    <w:p w:rsidR="009B49D4" w:rsidRPr="00A60BBF" w:rsidRDefault="009B49D4" w:rsidP="00FD6F10">
      <w:pPr>
        <w:ind w:left="576" w:right="576"/>
        <w:jc w:val="both"/>
        <w:rPr>
          <w:color w:val="000000"/>
        </w:rPr>
      </w:pPr>
    </w:p>
    <w:p w:rsidR="001D3A45" w:rsidRPr="00A60BBF" w:rsidRDefault="00115C51" w:rsidP="00FD6F10">
      <w:pPr>
        <w:jc w:val="both"/>
      </w:pPr>
      <w:r w:rsidRPr="00A60BBF">
        <w:rPr>
          <w:color w:val="000000"/>
        </w:rPr>
        <w:t>Senate Report 100-446, at 9 (Aug. 3, 1988).</w:t>
      </w:r>
      <w:r w:rsidRPr="00A60BBF">
        <w:t xml:space="preserve">  </w:t>
      </w:r>
    </w:p>
    <w:p w:rsidR="00C538EF" w:rsidRDefault="00C538EF" w:rsidP="00FD6F10">
      <w:pPr>
        <w:jc w:val="both"/>
      </w:pPr>
    </w:p>
    <w:p w:rsidR="00C538EF" w:rsidRDefault="00C538EF" w:rsidP="00FD6F10">
      <w:pPr>
        <w:jc w:val="both"/>
      </w:pPr>
      <w:r>
        <w:t>From the early 1990s to the mid-2000s</w:t>
      </w:r>
      <w:r w:rsidRPr="00361609">
        <w:t xml:space="preserve">, the NIGC </w:t>
      </w:r>
      <w:r>
        <w:t>and the Justice Department worked to the detriment of tribal governments, creating</w:t>
      </w:r>
      <w:r w:rsidRPr="00361609">
        <w:t xml:space="preserve"> great uncertainty in the area of class II Indian gaming.  </w:t>
      </w:r>
      <w:r>
        <w:t xml:space="preserve">The Commission and DOJ narrowly defined the scope of class II </w:t>
      </w:r>
      <w:r w:rsidR="00A60BBF">
        <w:t xml:space="preserve">games.  </w:t>
      </w:r>
      <w:r w:rsidRPr="00361609">
        <w:t xml:space="preserve">With little tribal input, the NIGC developed unworkable </w:t>
      </w:r>
      <w:r w:rsidR="002C779F">
        <w:t xml:space="preserve">proposed </w:t>
      </w:r>
      <w:r w:rsidRPr="00361609">
        <w:t>gaming classification standards that went beyond the statutory authority granted to the Commission in IGRA and that threatened the economic viability of class II gaming.  Many of these proposed regulations sought to limit class II games to o</w:t>
      </w:r>
      <w:r w:rsidR="00FD6F10">
        <w:t xml:space="preserve">nly those in play in 1988. </w:t>
      </w:r>
      <w:r w:rsidR="002C779F">
        <w:t>These</w:t>
      </w:r>
      <w:r w:rsidRPr="00361609">
        <w:t xml:space="preserve"> view</w:t>
      </w:r>
      <w:r w:rsidR="002C779F">
        <w:t>s</w:t>
      </w:r>
      <w:r w:rsidRPr="00361609">
        <w:t xml:space="preserve"> </w:t>
      </w:r>
      <w:r w:rsidR="002C779F">
        <w:t>stood</w:t>
      </w:r>
      <w:r w:rsidRPr="00361609">
        <w:t xml:space="preserve"> in direct conflict with </w:t>
      </w:r>
      <w:r w:rsidR="002C779F">
        <w:t xml:space="preserve">the above-stated </w:t>
      </w:r>
      <w:r w:rsidRPr="00361609">
        <w:t>congressional intent.</w:t>
      </w:r>
      <w:r w:rsidR="00FD6F10">
        <w:t xml:space="preserve">  A Report commissioned by the NIGC, titled “The Potential Economic Impact of the October 2007 Proposed Class II Regulations.”  The Report found that the NIGC proposal “would have a significant negative impact on Indian tribes”, including decreases in gaming and non-gaming revenue, Indian gaming facility closures, a decrease in jobs, and wide range of broader negative impacts on Native economies.</w:t>
      </w:r>
      <w:r w:rsidR="00FD6F10">
        <w:rPr>
          <w:rStyle w:val="FootnoteReference"/>
        </w:rPr>
        <w:footnoteReference w:id="5"/>
      </w:r>
    </w:p>
    <w:p w:rsidR="001D3A45" w:rsidRDefault="001D3A45" w:rsidP="00FD6F10">
      <w:pPr>
        <w:jc w:val="both"/>
      </w:pPr>
    </w:p>
    <w:p w:rsidR="00DE6F0F" w:rsidRDefault="00DE6F0F" w:rsidP="00FD6F10">
      <w:pPr>
        <w:autoSpaceDE w:val="0"/>
        <w:autoSpaceDN w:val="0"/>
        <w:adjustRightInd w:val="0"/>
        <w:jc w:val="both"/>
        <w:rPr>
          <w:color w:val="000000"/>
        </w:rPr>
      </w:pPr>
      <w:r>
        <w:t>In 2005, the Department of Justice proposed amendments to the Johnson Act, en</w:t>
      </w:r>
      <w:r>
        <w:rPr>
          <w:color w:val="000000"/>
        </w:rPr>
        <w:t>titled the “Gambling Devices Act Amendments of 2005.”</w:t>
      </w:r>
      <w:r w:rsidRPr="002E54FF">
        <w:rPr>
          <w:color w:val="000000"/>
        </w:rPr>
        <w:t xml:space="preserve">  </w:t>
      </w:r>
      <w:r w:rsidR="00C538EF">
        <w:rPr>
          <w:color w:val="000000"/>
        </w:rPr>
        <w:t xml:space="preserve">This </w:t>
      </w:r>
      <w:r>
        <w:rPr>
          <w:color w:val="000000"/>
        </w:rPr>
        <w:t xml:space="preserve">proposal would </w:t>
      </w:r>
      <w:r w:rsidR="00C13223">
        <w:rPr>
          <w:color w:val="000000"/>
        </w:rPr>
        <w:t xml:space="preserve">have </w:t>
      </w:r>
      <w:r>
        <w:rPr>
          <w:color w:val="000000"/>
        </w:rPr>
        <w:t>radically restructure</w:t>
      </w:r>
      <w:r w:rsidR="00C13223">
        <w:rPr>
          <w:color w:val="000000"/>
        </w:rPr>
        <w:t>d</w:t>
      </w:r>
      <w:r>
        <w:rPr>
          <w:color w:val="000000"/>
        </w:rPr>
        <w:t xml:space="preserve"> the regulatory scheme that appl</w:t>
      </w:r>
      <w:r w:rsidR="00896720">
        <w:rPr>
          <w:color w:val="000000"/>
        </w:rPr>
        <w:t xml:space="preserve">ies to Indian gaming.  It would have also </w:t>
      </w:r>
      <w:r>
        <w:rPr>
          <w:color w:val="000000"/>
        </w:rPr>
        <w:t>reduce</w:t>
      </w:r>
      <w:r w:rsidR="00896720">
        <w:rPr>
          <w:color w:val="000000"/>
        </w:rPr>
        <w:t>d</w:t>
      </w:r>
      <w:r>
        <w:rPr>
          <w:color w:val="000000"/>
        </w:rPr>
        <w:t xml:space="preserve"> the scope of class II gaming by either rendering existing class II games unlawful or reclassifying them as class III games.  </w:t>
      </w:r>
    </w:p>
    <w:p w:rsidR="00C13223" w:rsidRDefault="00C13223" w:rsidP="00FD6F10">
      <w:pPr>
        <w:autoSpaceDE w:val="0"/>
        <w:autoSpaceDN w:val="0"/>
        <w:adjustRightInd w:val="0"/>
        <w:jc w:val="both"/>
      </w:pPr>
    </w:p>
    <w:p w:rsidR="001B1137" w:rsidRDefault="002C779F" w:rsidP="00FD6F10">
      <w:pPr>
        <w:jc w:val="both"/>
      </w:pPr>
      <w:r>
        <w:t>A number of federal c</w:t>
      </w:r>
      <w:r w:rsidR="00DE6F0F" w:rsidRPr="007E2808">
        <w:t>ourts address</w:t>
      </w:r>
      <w:r w:rsidR="00DE6F0F">
        <w:t>ing</w:t>
      </w:r>
      <w:r w:rsidR="00DE6F0F" w:rsidRPr="007E2808">
        <w:t xml:space="preserve"> the </w:t>
      </w:r>
      <w:r w:rsidR="00DE6F0F">
        <w:t>application of</w:t>
      </w:r>
      <w:r w:rsidR="00DE6F0F" w:rsidRPr="007E2808">
        <w:t xml:space="preserve"> the Johnson Act to class II gaming have found that the Act simply does not apply to class II technologic aids. </w:t>
      </w:r>
      <w:r w:rsidR="00DE6F0F">
        <w:t xml:space="preserve"> </w:t>
      </w:r>
      <w:r w:rsidR="00DE6F0F">
        <w:rPr>
          <w:i/>
        </w:rPr>
        <w:t xml:space="preserve">See </w:t>
      </w:r>
      <w:r w:rsidR="00DE6F0F" w:rsidRPr="005D1B80">
        <w:rPr>
          <w:i/>
        </w:rPr>
        <w:t xml:space="preserve">United States v. 162 </w:t>
      </w:r>
      <w:r w:rsidR="00DE6F0F" w:rsidRPr="005D1B80">
        <w:rPr>
          <w:i/>
        </w:rPr>
        <w:lastRenderedPageBreak/>
        <w:t>Megamania Gambling Devices</w:t>
      </w:r>
      <w:r w:rsidR="00DE6F0F" w:rsidRPr="005D1B80">
        <w:t>, 231 F.3d 713, 715 (10th Cir. 2000)</w:t>
      </w:r>
      <w:r w:rsidR="00DE6F0F">
        <w:t xml:space="preserve"> (</w:t>
      </w:r>
      <w:r w:rsidR="00DE6F0F" w:rsidRPr="005D1B80">
        <w:t>“Congress did not intend the Johnson Act to apply if the game at issue fits within the definition of a class II game, and is played with the use of an electronic aid.”</w:t>
      </w:r>
      <w:r w:rsidR="00DE6F0F">
        <w:t>);</w:t>
      </w:r>
      <w:r w:rsidR="00DE6F0F" w:rsidRPr="005D1B80">
        <w:t xml:space="preserve"> </w:t>
      </w:r>
      <w:r w:rsidR="00DE6F0F" w:rsidRPr="005D1B80">
        <w:rPr>
          <w:i/>
        </w:rPr>
        <w:t>United States v. 103 Electronic Gambling Devices</w:t>
      </w:r>
      <w:r w:rsidR="00DE6F0F" w:rsidRPr="005D1B80">
        <w:t xml:space="preserve">, 223 F.3d 1091, 1102 (9th Cir. 2000) (rejecting the notion that the Johnson Act extends to technologic aids to the play of bingo); </w:t>
      </w:r>
      <w:r w:rsidR="00DE6F0F" w:rsidRPr="005D1B80">
        <w:rPr>
          <w:i/>
        </w:rPr>
        <w:t>Diamond Game Enterprises v. Reno</w:t>
      </w:r>
      <w:r w:rsidR="00DE6F0F" w:rsidRPr="005D1B80">
        <w:t>, 230 F.3d 365</w:t>
      </w:r>
      <w:r w:rsidR="00DE6F0F">
        <w:t>, 367 (D.C. Cir. 2000)</w:t>
      </w:r>
      <w:r w:rsidR="00DE6F0F" w:rsidRPr="005D1B80">
        <w:t xml:space="preserve"> (noting that class II aids permitted by IGRA do not run afoul of the Johnson Act); </w:t>
      </w:r>
      <w:r w:rsidR="00DE6F0F" w:rsidRPr="005D1B80">
        <w:rPr>
          <w:i/>
        </w:rPr>
        <w:t>United States v. Burns</w:t>
      </w:r>
      <w:r w:rsidR="00DE6F0F" w:rsidRPr="005D1B80">
        <w:t>, 725 F.Supp. 116, 124 (N.D.N.Y. 1989) (indicating that IGRA makes the Johnson Act inapplicable to class II gaming and therefore tribes may use “gambling dev</w:t>
      </w:r>
      <w:r w:rsidR="00DE6F0F">
        <w:t>ices” in the context of bingo).</w:t>
      </w:r>
    </w:p>
    <w:p w:rsidR="001B1137" w:rsidRDefault="001B1137" w:rsidP="00FD6F10">
      <w:pPr>
        <w:jc w:val="both"/>
      </w:pPr>
    </w:p>
    <w:p w:rsidR="001B1137" w:rsidRDefault="001B1137" w:rsidP="00FD6F10">
      <w:pPr>
        <w:jc w:val="both"/>
      </w:pPr>
      <w:r>
        <w:t xml:space="preserve">The Ninth Circuit in </w:t>
      </w:r>
      <w:r w:rsidRPr="001B1137">
        <w:rPr>
          <w:i/>
        </w:rPr>
        <w:t>United States v. 103 Electronic Gambling Devices</w:t>
      </w:r>
      <w:r>
        <w:t xml:space="preserve"> rejected the Justice Department’s antiquated reading of the scope of bingo under IGRA:</w:t>
      </w:r>
    </w:p>
    <w:p w:rsidR="001B1137" w:rsidRDefault="001B1137" w:rsidP="00FD6F10">
      <w:pPr>
        <w:jc w:val="both"/>
      </w:pPr>
    </w:p>
    <w:p w:rsidR="00DE6F0F" w:rsidRDefault="001B1137" w:rsidP="00FD6F10">
      <w:pPr>
        <w:ind w:left="720" w:right="720"/>
        <w:jc w:val="both"/>
      </w:pPr>
      <w:r>
        <w:t xml:space="preserve">“The Government’s efforts </w:t>
      </w:r>
      <w:r w:rsidRPr="001B1137">
        <w:t>to capture more completely the Platonic ‘essence’ of traditional bingo are not helpful. Whatever a nostalgic inquiry into the vital characteristics of the game as it was played in our childhoods or home towns might discover, IGRA’s three explicit criteria, we hold, constitute the sole and legal requirements for a game to count as class II bingo</w:t>
      </w:r>
      <w:r>
        <w:t xml:space="preserve">…. </w:t>
      </w:r>
      <w:r w:rsidRPr="001B1137">
        <w:t>All told… the definition of bingo is broader than the government would have us read it.  We decline the invitation to impose restrictions on its meaning besides those Congress explicitly set forth in the statute.  Class II bingo under IGRA is not limited to the game we played as children.”</w:t>
      </w:r>
    </w:p>
    <w:p w:rsidR="00DE6F0F" w:rsidRDefault="00DE6F0F" w:rsidP="00FD6F10">
      <w:pPr>
        <w:ind w:firstLine="720"/>
        <w:jc w:val="both"/>
      </w:pPr>
    </w:p>
    <w:p w:rsidR="00DE6F0F" w:rsidRDefault="00DE6F0F" w:rsidP="00FD6F10">
      <w:pPr>
        <w:jc w:val="both"/>
      </w:pPr>
      <w:r>
        <w:t xml:space="preserve">In </w:t>
      </w:r>
      <w:r>
        <w:rPr>
          <w:i/>
        </w:rPr>
        <w:t>Seneca-Cayuga Tribe of Oklahoma v. Nat'l Indian Gaming Commission</w:t>
      </w:r>
      <w:r>
        <w:t>, 327 F.3d. 1019, 1032 (10</w:t>
      </w:r>
      <w:r w:rsidRPr="005D1B80">
        <w:rPr>
          <w:vertAlign w:val="superscript"/>
        </w:rPr>
        <w:t>th</w:t>
      </w:r>
      <w:r>
        <w:t xml:space="preserve"> Cir. 2003), </w:t>
      </w:r>
      <w:r w:rsidR="001B1137">
        <w:t>the Tenth Circuit similarly rejected the NIGC’s narrow reading of class II games.  That c</w:t>
      </w:r>
      <w:r>
        <w:t>ourt held that:</w:t>
      </w:r>
    </w:p>
    <w:p w:rsidR="00DE6F0F" w:rsidRDefault="00DE6F0F" w:rsidP="00FD6F10">
      <w:pPr>
        <w:ind w:firstLine="720"/>
        <w:jc w:val="both"/>
      </w:pPr>
    </w:p>
    <w:p w:rsidR="006171CC" w:rsidRDefault="001B1137" w:rsidP="00FD6F10">
      <w:pPr>
        <w:ind w:left="720" w:right="720"/>
        <w:jc w:val="both"/>
      </w:pPr>
      <w:r>
        <w:t>“</w:t>
      </w:r>
      <w:r w:rsidR="00DE6F0F">
        <w:t>Absent clear evidence to the contrary, we will not ascribe to Congress the intent both to carefully craft through IGRA this protection afforded to users of Class II technologic aids and to simultaneously eviscerate those protections by exposing users of Class II technologic aids to Johnson Act liability for the very conduct authorized by IGRA.  A better reading of the statutory scheme is that through IGRA, Congress specifically and affirmatively authorized the use of Class II technologic aids, subject to compliance with the other IGRA provisions that govern Class II gaming.  Moreover, by shielding Indian country users of Class II technologic aids from Johnson Act liability, this construction gives meaning to b</w:t>
      </w:r>
      <w:bookmarkStart w:id="0" w:name="_GoBack"/>
      <w:bookmarkEnd w:id="0"/>
      <w:r w:rsidR="00DE6F0F">
        <w:t>oth statutes, rather than neutering one of legal import.</w:t>
      </w:r>
      <w:r>
        <w:t>”</w:t>
      </w:r>
      <w:r w:rsidR="00DE6F0F">
        <w:t xml:space="preserve"> </w:t>
      </w:r>
    </w:p>
    <w:p w:rsidR="006171CC" w:rsidRDefault="006171CC" w:rsidP="00FD6F10">
      <w:pPr>
        <w:ind w:firstLine="720"/>
        <w:jc w:val="both"/>
      </w:pPr>
    </w:p>
    <w:p w:rsidR="00FD6F10" w:rsidRDefault="009F43B8" w:rsidP="00FD6F10">
      <w:pPr>
        <w:jc w:val="both"/>
      </w:pPr>
      <w:r>
        <w:t xml:space="preserve">The </w:t>
      </w:r>
      <w:r w:rsidR="002C779F">
        <w:t xml:space="preserve">federal courts </w:t>
      </w:r>
      <w:r w:rsidR="00FD6F10">
        <w:t xml:space="preserve">and public sentiment </w:t>
      </w:r>
      <w:r w:rsidR="002C779F">
        <w:t>sufficiently put to rest</w:t>
      </w:r>
      <w:r w:rsidR="00FD6F10">
        <w:t xml:space="preserve"> the NIGC’s narrow proposed rule and the Justice Department’s dangerous legislative proposal to narrowly interpret class II Indian gaming</w:t>
      </w:r>
      <w:r w:rsidR="002C779F">
        <w:t xml:space="preserve">.  </w:t>
      </w:r>
      <w:r w:rsidR="00FD6F10">
        <w:t xml:space="preserve">The NIGC proposed rules were withdrawn and the DOJ proposal did not gain traction in Congress.  </w:t>
      </w:r>
    </w:p>
    <w:p w:rsidR="00FD6F10" w:rsidRDefault="00FD6F10" w:rsidP="00FD6F10">
      <w:pPr>
        <w:jc w:val="both"/>
      </w:pPr>
    </w:p>
    <w:p w:rsidR="00154AD1" w:rsidRPr="00C13223" w:rsidRDefault="002C779F" w:rsidP="00FD6F10">
      <w:pPr>
        <w:jc w:val="both"/>
        <w:rPr>
          <w:b/>
        </w:rPr>
      </w:pPr>
      <w:r>
        <w:t>In recent years, t</w:t>
      </w:r>
      <w:r w:rsidR="00C13223">
        <w:t>he NIGC and Tribal regulators have worked together to strengthen all regulato</w:t>
      </w:r>
      <w:r w:rsidR="009F43B8">
        <w:t xml:space="preserve">ry aspects of Indian Gaming.  </w:t>
      </w:r>
      <w:r>
        <w:t>Indian g</w:t>
      </w:r>
      <w:r w:rsidR="00C13223">
        <w:t>aming is one of the most regulated industries in America and we are proud to stand on our record of strong regulation</w:t>
      </w:r>
      <w:r w:rsidR="00896720">
        <w:t xml:space="preserve">, adaptive technologies, and </w:t>
      </w:r>
      <w:r w:rsidR="00896720">
        <w:lastRenderedPageBreak/>
        <w:t xml:space="preserve">revolutionary gaming innovations.  </w:t>
      </w:r>
      <w:r w:rsidR="001B1137">
        <w:t>We look forward to further strengthening class II Indian gaming, changing with advances in technology as this Committee intended over the next twenty-five years under IGRA.</w:t>
      </w:r>
    </w:p>
    <w:p w:rsidR="00154AD1" w:rsidRPr="00C13223" w:rsidRDefault="00154AD1" w:rsidP="00FD6F10">
      <w:pPr>
        <w:jc w:val="both"/>
        <w:rPr>
          <w:b/>
        </w:rPr>
      </w:pPr>
    </w:p>
    <w:p w:rsidR="000A4155" w:rsidRPr="001066DE" w:rsidRDefault="001066DE" w:rsidP="00FD6F10">
      <w:pPr>
        <w:jc w:val="both"/>
        <w:rPr>
          <w:b/>
          <w:i/>
          <w:color w:val="000000"/>
        </w:rPr>
      </w:pPr>
      <w:r>
        <w:tab/>
      </w:r>
      <w:r>
        <w:rPr>
          <w:b/>
          <w:i/>
        </w:rPr>
        <w:t>Internet Gambling in the United States</w:t>
      </w:r>
    </w:p>
    <w:p w:rsidR="001066DE" w:rsidRDefault="001066D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p>
    <w:p w:rsidR="00864A31" w:rsidRDefault="008E2C15"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Pr>
          <w:color w:val="000000"/>
        </w:rPr>
        <w:t xml:space="preserve">Any discussion of the future of Indian gaming, and for that matter, the future of the gaming industry in the United States, must acknowledge the Internet as part of that future.  </w:t>
      </w:r>
      <w:r w:rsidR="009E66D4" w:rsidRPr="00864A31">
        <w:rPr>
          <w:color w:val="000000"/>
        </w:rPr>
        <w:t>The debate in Congress regarding Internet gaming has been ongoing for more than 15 years.  NIGA’s position on the issue has been consistent from the beginning.  I first testified on the issue before the House Financial Services Committee in July of 2001.  Then I stated that, “</w:t>
      </w:r>
      <w:r w:rsidR="009E66D4" w:rsidRPr="00864A31">
        <w:rPr>
          <w:rFonts w:cs="Times"/>
          <w:color w:val="000000"/>
        </w:rPr>
        <w:t xml:space="preserve">NIGA is not seeking legislation that would expand, promote, or prohibit Internet gaming. However, we do ask that any legislation that goes forward, preserves the rights of Tribal governments under existing law, and offers them the same opportunity to participate in Internet gaming as any other entity.”  Our position has not changed.  </w:t>
      </w:r>
    </w:p>
    <w:p w:rsidR="00864A31" w:rsidRDefault="00864A31"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rsidR="002075EF" w:rsidRDefault="00BC6802"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ahoma"/>
        </w:rPr>
      </w:pPr>
      <w:r>
        <w:rPr>
          <w:rFonts w:cs="Tahoma"/>
        </w:rPr>
        <w:t xml:space="preserve">Over the </w:t>
      </w:r>
      <w:r w:rsidR="00825A1D">
        <w:rPr>
          <w:rFonts w:cs="Tahoma"/>
        </w:rPr>
        <w:t xml:space="preserve">ensuring </w:t>
      </w:r>
      <w:r>
        <w:rPr>
          <w:rFonts w:cs="Tahoma"/>
        </w:rPr>
        <w:t>years, NIGA’s Member Tribes</w:t>
      </w:r>
      <w:r w:rsidR="00864A31" w:rsidRPr="00864A31">
        <w:rPr>
          <w:rFonts w:cs="Tahoma"/>
        </w:rPr>
        <w:t xml:space="preserve"> </w:t>
      </w:r>
      <w:r>
        <w:rPr>
          <w:rFonts w:cs="Tahoma"/>
        </w:rPr>
        <w:t xml:space="preserve">have developed principles to guide legislation that would legalize </w:t>
      </w:r>
      <w:r w:rsidR="00864A31" w:rsidRPr="00864A31">
        <w:rPr>
          <w:rFonts w:cs="Tahoma"/>
        </w:rPr>
        <w:t xml:space="preserve">Internet gaming </w:t>
      </w:r>
      <w:r>
        <w:rPr>
          <w:rFonts w:cs="Tahoma"/>
        </w:rPr>
        <w:t>in the United States</w:t>
      </w:r>
      <w:r w:rsidR="008E2C15">
        <w:rPr>
          <w:rFonts w:cs="Tahoma"/>
        </w:rPr>
        <w:t xml:space="preserve">. These principles were developed over </w:t>
      </w:r>
      <w:r w:rsidR="002075EF">
        <w:rPr>
          <w:rFonts w:cs="Tahoma"/>
        </w:rPr>
        <w:t xml:space="preserve">dozens of meetings with NIGA’s Internet Gaming Subcommittee, the </w:t>
      </w:r>
      <w:r w:rsidR="00461228">
        <w:rPr>
          <w:rFonts w:cs="Tahoma"/>
        </w:rPr>
        <w:t>NIGA-</w:t>
      </w:r>
      <w:r w:rsidR="00825A1D">
        <w:rPr>
          <w:rFonts w:cs="Tahoma"/>
        </w:rPr>
        <w:t>National Congress of American Indians’</w:t>
      </w:r>
      <w:r w:rsidR="00461228">
        <w:rPr>
          <w:rFonts w:cs="Tahoma"/>
        </w:rPr>
        <w:t xml:space="preserve"> (NCAI)</w:t>
      </w:r>
      <w:r w:rsidR="002075EF">
        <w:rPr>
          <w:rFonts w:cs="Tahoma"/>
        </w:rPr>
        <w:t xml:space="preserve"> Gaming Task Force, and with input from many of the regional tribal gaming associations.  In sum, they</w:t>
      </w:r>
      <w:r w:rsidR="00864A31" w:rsidRPr="00864A31">
        <w:rPr>
          <w:rFonts w:cs="Tahoma"/>
        </w:rPr>
        <w:t xml:space="preserve"> are directives </w:t>
      </w:r>
      <w:r>
        <w:rPr>
          <w:rFonts w:cs="Tahoma"/>
        </w:rPr>
        <w:t>from our tribal leadership</w:t>
      </w:r>
      <w:r w:rsidR="008E2C15">
        <w:rPr>
          <w:rFonts w:cs="Tahoma"/>
        </w:rPr>
        <w:t>, which is</w:t>
      </w:r>
      <w:r>
        <w:rPr>
          <w:rFonts w:cs="Tahoma"/>
        </w:rPr>
        <w:t xml:space="preserve"> guided by the mission</w:t>
      </w:r>
      <w:r w:rsidR="00864A31" w:rsidRPr="00864A31">
        <w:rPr>
          <w:rFonts w:cs="Tahoma"/>
        </w:rPr>
        <w:t xml:space="preserve"> to protect tribal sovereignty and </w:t>
      </w:r>
      <w:r>
        <w:rPr>
          <w:rFonts w:cs="Tahoma"/>
        </w:rPr>
        <w:t>to protect</w:t>
      </w:r>
      <w:r w:rsidR="00864A31" w:rsidRPr="00864A31">
        <w:rPr>
          <w:rFonts w:cs="Tahoma"/>
        </w:rPr>
        <w:t xml:space="preserve"> rights of all tribes to shape their economic future</w:t>
      </w:r>
      <w:r>
        <w:rPr>
          <w:rFonts w:cs="Tahoma"/>
        </w:rPr>
        <w:t>s</w:t>
      </w:r>
      <w:r w:rsidR="00864A31" w:rsidRPr="00864A31">
        <w:rPr>
          <w:rFonts w:cs="Tahoma"/>
        </w:rPr>
        <w:t xml:space="preserve">. Our principles </w:t>
      </w:r>
      <w:r w:rsidR="00825A1D">
        <w:rPr>
          <w:rFonts w:cs="Tahoma"/>
        </w:rPr>
        <w:t>are grounded in that mission.  If Congress acts to legalize Internet gaming in the United States, such legislation must:</w:t>
      </w:r>
      <w:r w:rsidR="00864A31" w:rsidRPr="00864A31">
        <w:rPr>
          <w:rFonts w:cs="Tahoma"/>
        </w:rPr>
        <w:t xml:space="preserve"> </w:t>
      </w:r>
    </w:p>
    <w:p w:rsidR="002075EF" w:rsidRDefault="002075E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ahoma"/>
        </w:rPr>
      </w:pPr>
    </w:p>
    <w:p w:rsidR="002075EF" w:rsidRPr="00EE58C7" w:rsidRDefault="00396DBF" w:rsidP="00FD6F1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ahoma"/>
        </w:rPr>
      </w:pPr>
      <w:r>
        <w:rPr>
          <w:rFonts w:cs="Tahoma"/>
        </w:rPr>
        <w:t>a</w:t>
      </w:r>
      <w:r w:rsidR="00825A1D">
        <w:rPr>
          <w:rFonts w:cs="Tahoma"/>
        </w:rPr>
        <w:t xml:space="preserve">cknowledge </w:t>
      </w:r>
      <w:r w:rsidR="00864A31" w:rsidRPr="002075EF">
        <w:rPr>
          <w:rFonts w:cs="Tahoma"/>
        </w:rPr>
        <w:t xml:space="preserve">Indian tribes </w:t>
      </w:r>
      <w:r w:rsidR="00825A1D">
        <w:rPr>
          <w:rFonts w:cs="Tahoma"/>
        </w:rPr>
        <w:t>as</w:t>
      </w:r>
      <w:r w:rsidR="00864A31" w:rsidRPr="002075EF">
        <w:rPr>
          <w:rFonts w:cs="Tahoma"/>
        </w:rPr>
        <w:t xml:space="preserve"> sovereign governments with a right to operate, regulate, tax and license Internet gaming, and those rights must not be subordinate</w:t>
      </w:r>
      <w:r w:rsidR="002075EF" w:rsidRPr="002075EF">
        <w:rPr>
          <w:rFonts w:cs="Tahoma"/>
        </w:rPr>
        <w:t>d to any non-federal authority</w:t>
      </w:r>
      <w:r>
        <w:rPr>
          <w:rFonts w:cs="Tahoma"/>
        </w:rPr>
        <w:t>;</w:t>
      </w:r>
    </w:p>
    <w:p w:rsidR="002075EF" w:rsidRPr="00EE58C7" w:rsidRDefault="00396DBF" w:rsidP="00FD6F1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ahoma"/>
        </w:rPr>
      </w:pPr>
      <w:r>
        <w:rPr>
          <w:rFonts w:cs="Tahoma"/>
        </w:rPr>
        <w:t>make legal Internet gaming available to all federally recognized</w:t>
      </w:r>
      <w:r w:rsidR="00864A31" w:rsidRPr="002075EF">
        <w:rPr>
          <w:rFonts w:cs="Tahoma"/>
        </w:rPr>
        <w:t xml:space="preserve"> Indian tribes</w:t>
      </w:r>
      <w:r>
        <w:rPr>
          <w:rFonts w:cs="Tahoma"/>
        </w:rPr>
        <w:t>, and</w:t>
      </w:r>
      <w:r w:rsidR="00864A31" w:rsidRPr="002075EF">
        <w:rPr>
          <w:rFonts w:cs="Tahoma"/>
        </w:rPr>
        <w:t xml:space="preserve"> </w:t>
      </w:r>
      <w:r>
        <w:rPr>
          <w:rFonts w:cs="Tahoma"/>
        </w:rPr>
        <w:t xml:space="preserve">tribal Internet gaming </w:t>
      </w:r>
      <w:r w:rsidR="00864A31" w:rsidRPr="002075EF">
        <w:rPr>
          <w:rFonts w:cs="Tahoma"/>
        </w:rPr>
        <w:t xml:space="preserve">must be available to customers in any </w:t>
      </w:r>
      <w:r>
        <w:rPr>
          <w:rFonts w:cs="Tahoma"/>
        </w:rPr>
        <w:t>location</w:t>
      </w:r>
      <w:r w:rsidR="00864A31" w:rsidRPr="002075EF">
        <w:rPr>
          <w:rFonts w:cs="Tahoma"/>
        </w:rPr>
        <w:t xml:space="preserve"> where Internet gaming i</w:t>
      </w:r>
      <w:r w:rsidR="002075EF">
        <w:rPr>
          <w:rFonts w:cs="Tahoma"/>
        </w:rPr>
        <w:t>s not criminally prohibited</w:t>
      </w:r>
      <w:r>
        <w:rPr>
          <w:rFonts w:cs="Tahoma"/>
        </w:rPr>
        <w:t>;</w:t>
      </w:r>
    </w:p>
    <w:p w:rsidR="002075EF" w:rsidRPr="00EE58C7" w:rsidRDefault="00396DBF" w:rsidP="00FD6F1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ahoma"/>
        </w:rPr>
      </w:pPr>
      <w:r>
        <w:rPr>
          <w:rFonts w:cs="Tahoma"/>
        </w:rPr>
        <w:t xml:space="preserve">acknowledge that </w:t>
      </w:r>
      <w:r w:rsidR="00864A31" w:rsidRPr="002075EF">
        <w:rPr>
          <w:rFonts w:cs="Tahoma"/>
        </w:rPr>
        <w:t>tribal</w:t>
      </w:r>
      <w:r>
        <w:rPr>
          <w:rFonts w:cs="Tahoma"/>
        </w:rPr>
        <w:t xml:space="preserve"> Internet gaming</w:t>
      </w:r>
      <w:r w:rsidR="00864A31" w:rsidRPr="002075EF">
        <w:rPr>
          <w:rFonts w:cs="Tahoma"/>
        </w:rPr>
        <w:t xml:space="preserve"> revenues</w:t>
      </w:r>
      <w:r>
        <w:rPr>
          <w:rFonts w:cs="Tahoma"/>
        </w:rPr>
        <w:t xml:space="preserve"> are not</w:t>
      </w:r>
      <w:r w:rsidR="002075EF">
        <w:rPr>
          <w:rFonts w:cs="Tahoma"/>
        </w:rPr>
        <w:t xml:space="preserve"> subject to tax</w:t>
      </w:r>
      <w:r>
        <w:rPr>
          <w:rFonts w:cs="Tahoma"/>
        </w:rPr>
        <w:t>ation, as tribal government revenues are dedicated to the benefit of our communities and thus are 100% taxed</w:t>
      </w:r>
      <w:r w:rsidR="002075EF">
        <w:rPr>
          <w:rFonts w:cs="Tahoma"/>
        </w:rPr>
        <w:t xml:space="preserve">; </w:t>
      </w:r>
    </w:p>
    <w:p w:rsidR="002075EF" w:rsidRPr="00EE58C7" w:rsidRDefault="00396DBF" w:rsidP="00FD6F1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ahoma"/>
        </w:rPr>
      </w:pPr>
      <w:r>
        <w:rPr>
          <w:rFonts w:cs="Tahoma"/>
        </w:rPr>
        <w:t>e</w:t>
      </w:r>
      <w:r w:rsidR="00864A31" w:rsidRPr="002075EF">
        <w:rPr>
          <w:rFonts w:cs="Tahoma"/>
        </w:rPr>
        <w:t>xisting tribal government rights under tribal-state compact</w:t>
      </w:r>
      <w:r>
        <w:rPr>
          <w:rFonts w:cs="Tahoma"/>
        </w:rPr>
        <w:t>s and IGRA;</w:t>
      </w:r>
    </w:p>
    <w:p w:rsidR="002075EF" w:rsidRPr="00EE58C7" w:rsidRDefault="00864A31" w:rsidP="00FD6F1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ahoma"/>
        </w:rPr>
      </w:pPr>
      <w:r w:rsidRPr="002075EF">
        <w:rPr>
          <w:rFonts w:cs="Tahoma"/>
        </w:rPr>
        <w:t xml:space="preserve">not open </w:t>
      </w:r>
      <w:r w:rsidR="00396DBF">
        <w:rPr>
          <w:rFonts w:cs="Tahoma"/>
        </w:rPr>
        <w:t>IGRA</w:t>
      </w:r>
      <w:r w:rsidR="002075EF">
        <w:rPr>
          <w:rFonts w:cs="Tahoma"/>
        </w:rPr>
        <w:t xml:space="preserve"> for amendments</w:t>
      </w:r>
      <w:r w:rsidR="00396DBF">
        <w:rPr>
          <w:rFonts w:cs="Tahoma"/>
        </w:rPr>
        <w:t xml:space="preserve"> in Congress;</w:t>
      </w:r>
    </w:p>
    <w:p w:rsidR="002075EF" w:rsidRPr="00EE58C7" w:rsidRDefault="00864A31" w:rsidP="00FD6F1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ahoma"/>
        </w:rPr>
      </w:pPr>
      <w:r w:rsidRPr="002075EF">
        <w:rPr>
          <w:rFonts w:cs="Tahoma"/>
        </w:rPr>
        <w:t>provide positive economic bene</w:t>
      </w:r>
      <w:r w:rsidR="00396DBF">
        <w:rPr>
          <w:rFonts w:cs="Tahoma"/>
        </w:rPr>
        <w:t>fits to</w:t>
      </w:r>
      <w:r w:rsidR="002075EF">
        <w:rPr>
          <w:rFonts w:cs="Tahoma"/>
        </w:rPr>
        <w:t xml:space="preserve"> </w:t>
      </w:r>
      <w:r w:rsidR="00352048">
        <w:rPr>
          <w:rFonts w:cs="Tahoma"/>
        </w:rPr>
        <w:t>Indian Country</w:t>
      </w:r>
      <w:r w:rsidR="00396DBF">
        <w:rPr>
          <w:rFonts w:cs="Tahoma"/>
        </w:rPr>
        <w:t xml:space="preserve"> to offset potential economic harm caused by legalization; and</w:t>
      </w:r>
    </w:p>
    <w:p w:rsidR="002075EF" w:rsidRDefault="00396DBF" w:rsidP="00FD6F1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ahoma"/>
        </w:rPr>
      </w:pPr>
      <w:r>
        <w:rPr>
          <w:rFonts w:cs="Tahoma"/>
        </w:rPr>
        <w:t xml:space="preserve">provide tribal governments with the </w:t>
      </w:r>
      <w:r w:rsidR="00864A31" w:rsidRPr="002075EF">
        <w:rPr>
          <w:rFonts w:cs="Tahoma"/>
        </w:rPr>
        <w:t>right to opt in to a federal regulatory scheme</w:t>
      </w:r>
      <w:r>
        <w:rPr>
          <w:rFonts w:cs="Tahoma"/>
        </w:rPr>
        <w:t>, and not subject tribal eligibility to a state government’s decision to opt-out.</w:t>
      </w:r>
      <w:r w:rsidR="00BC6802" w:rsidRPr="002075EF">
        <w:rPr>
          <w:rFonts w:cs="Tahoma"/>
        </w:rPr>
        <w:t xml:space="preserve">  </w:t>
      </w:r>
    </w:p>
    <w:p w:rsidR="002075EF" w:rsidRPr="002075EF" w:rsidRDefault="002075EF"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ahoma"/>
        </w:rPr>
      </w:pPr>
    </w:p>
    <w:p w:rsidR="001066DE" w:rsidRPr="002C779F" w:rsidRDefault="006C320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3"/>
        </w:rPr>
      </w:pPr>
      <w:r>
        <w:rPr>
          <w:rFonts w:cs="Tahoma"/>
        </w:rPr>
        <w:t>We simply ask that Congress acknowledge the Constitution’s recognition of Indian tribes as separate governments</w:t>
      </w:r>
      <w:r w:rsidR="00864A31" w:rsidRPr="002075EF">
        <w:rPr>
          <w:rFonts w:cs="Tahoma"/>
        </w:rPr>
        <w:t>.</w:t>
      </w:r>
      <w:r>
        <w:rPr>
          <w:rFonts w:cs="Tahoma"/>
        </w:rPr>
        <w:t xml:space="preserve"> In addition, we ask that</w:t>
      </w:r>
      <w:r w:rsidR="003F4EA6">
        <w:rPr>
          <w:rFonts w:cs="Tahoma"/>
        </w:rPr>
        <w:t>,</w:t>
      </w:r>
      <w:r>
        <w:rPr>
          <w:rFonts w:cs="Tahoma"/>
        </w:rPr>
        <w:t xml:space="preserve"> like IGRA, </w:t>
      </w:r>
      <w:r w:rsidR="003F4EA6">
        <w:rPr>
          <w:rFonts w:cs="Tahoma"/>
        </w:rPr>
        <w:t xml:space="preserve">federal </w:t>
      </w:r>
      <w:r>
        <w:rPr>
          <w:rFonts w:cs="Tahoma"/>
        </w:rPr>
        <w:t xml:space="preserve">Internet gaming legislation </w:t>
      </w:r>
      <w:r>
        <w:rPr>
          <w:szCs w:val="23"/>
        </w:rPr>
        <w:t xml:space="preserve">acknowledge that </w:t>
      </w:r>
      <w:r w:rsidRPr="00610921">
        <w:rPr>
          <w:szCs w:val="23"/>
        </w:rPr>
        <w:t xml:space="preserve">Indian tribes still possess those aspects of sovereignty not withdrawn by treaty or statute, or by implication “as a necessary result of their status.” </w:t>
      </w:r>
      <w:r w:rsidR="003F4EA6">
        <w:rPr>
          <w:szCs w:val="23"/>
        </w:rPr>
        <w:t xml:space="preserve"> These fundamental </w:t>
      </w:r>
      <w:r w:rsidR="00FB3E19">
        <w:rPr>
          <w:szCs w:val="23"/>
        </w:rPr>
        <w:t>principles</w:t>
      </w:r>
      <w:r w:rsidR="003F4EA6">
        <w:rPr>
          <w:szCs w:val="23"/>
        </w:rPr>
        <w:t xml:space="preserve"> of federal Indian law must be maintained.  </w:t>
      </w:r>
    </w:p>
    <w:p w:rsidR="00154AD1" w:rsidRDefault="001066DE"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864A31">
        <w:rPr>
          <w:color w:val="000000"/>
        </w:rPr>
        <w:lastRenderedPageBreak/>
        <w:tab/>
      </w:r>
    </w:p>
    <w:p w:rsidR="001066DE" w:rsidRPr="00864A31" w:rsidRDefault="00154AD1"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rPr>
      </w:pPr>
      <w:r>
        <w:rPr>
          <w:color w:val="000000"/>
        </w:rPr>
        <w:tab/>
      </w:r>
      <w:r w:rsidR="00E32FC0">
        <w:rPr>
          <w:b/>
          <w:i/>
          <w:color w:val="000000"/>
        </w:rPr>
        <w:t xml:space="preserve">Land Into Trust For Gaming Purposes </w:t>
      </w:r>
    </w:p>
    <w:p w:rsidR="007B3188" w:rsidRDefault="007B3188"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E32FC0" w:rsidRPr="00572FD1" w:rsidRDefault="009C721A" w:rsidP="00FD6F10">
      <w:pPr>
        <w:jc w:val="both"/>
      </w:pPr>
      <w:r>
        <w:t>The issue of Indian gaming on</w:t>
      </w:r>
      <w:r w:rsidR="00E32FC0">
        <w:t xml:space="preserve"> land</w:t>
      </w:r>
      <w:r>
        <w:t>s</w:t>
      </w:r>
      <w:r w:rsidR="00E32FC0">
        <w:t xml:space="preserve"> </w:t>
      </w:r>
      <w:r>
        <w:t xml:space="preserve">placed </w:t>
      </w:r>
      <w:r w:rsidR="00E32FC0">
        <w:t>into trust for gaming purposes</w:t>
      </w:r>
      <w:r w:rsidR="00461228">
        <w:t xml:space="preserve"> has been a point of debate since enactment. </w:t>
      </w:r>
      <w:r w:rsidR="00E32FC0" w:rsidRPr="00572FD1">
        <w:t xml:space="preserve"> </w:t>
      </w:r>
      <w:r w:rsidR="00461228">
        <w:t>From 2005 to 2006</w:t>
      </w:r>
      <w:r w:rsidR="00E32FC0">
        <w:t xml:space="preserve"> the </w:t>
      </w:r>
      <w:r w:rsidR="00E32FC0" w:rsidRPr="00572FD1">
        <w:t>109</w:t>
      </w:r>
      <w:r w:rsidR="00E32FC0" w:rsidRPr="00572FD1">
        <w:rPr>
          <w:vertAlign w:val="superscript"/>
        </w:rPr>
        <w:t>th</w:t>
      </w:r>
      <w:r w:rsidR="00E32FC0" w:rsidRPr="00572FD1">
        <w:t xml:space="preserve"> Congress</w:t>
      </w:r>
      <w:r w:rsidR="00E32FC0">
        <w:t xml:space="preserve"> </w:t>
      </w:r>
      <w:r w:rsidR="00461228">
        <w:t>examined several proposals to amend</w:t>
      </w:r>
      <w:r w:rsidR="00E32FC0">
        <w:t xml:space="preserve"> IGRA’s Section 20 process.  </w:t>
      </w:r>
      <w:r w:rsidR="00E32FC0" w:rsidRPr="00572FD1">
        <w:t xml:space="preserve"> IGRA</w:t>
      </w:r>
      <w:r w:rsidR="00461228">
        <w:t>’s Section 20</w:t>
      </w:r>
      <w:r w:rsidR="00E32FC0" w:rsidRPr="00572FD1">
        <w:t xml:space="preserve"> establishes the general rule that Indian gaming shall be conducted on Indian lands held in trust prior to </w:t>
      </w:r>
      <w:r>
        <w:t xml:space="preserve">enactment of the Act on </w:t>
      </w:r>
      <w:r w:rsidR="00E32FC0" w:rsidRPr="00572FD1">
        <w:t xml:space="preserve">October </w:t>
      </w:r>
      <w:r>
        <w:t xml:space="preserve">17, </w:t>
      </w:r>
      <w:r w:rsidR="00E32FC0" w:rsidRPr="00572FD1">
        <w:t xml:space="preserve">1988. However, </w:t>
      </w:r>
      <w:r w:rsidR="00461228">
        <w:t>the same provision</w:t>
      </w:r>
      <w:r w:rsidR="00E32FC0" w:rsidRPr="00572FD1">
        <w:t xml:space="preserve"> balances this general prohibition with several exceptions to account for past wrongs imposed by federal policies that decimated the homelands of many India</w:t>
      </w:r>
      <w:r w:rsidR="00BD24EA">
        <w:t>n t</w:t>
      </w:r>
      <w:r w:rsidR="00E32FC0" w:rsidRPr="00572FD1">
        <w:t xml:space="preserve">ribes.  </w:t>
      </w:r>
    </w:p>
    <w:p w:rsidR="00E32FC0" w:rsidRPr="00572FD1" w:rsidRDefault="00E32FC0" w:rsidP="00FD6F10">
      <w:pPr>
        <w:jc w:val="both"/>
      </w:pPr>
    </w:p>
    <w:p w:rsidR="00E32FC0" w:rsidRPr="00572FD1" w:rsidRDefault="00E32FC0" w:rsidP="00FD6F10">
      <w:pPr>
        <w:jc w:val="both"/>
      </w:pPr>
      <w:r w:rsidRPr="00572FD1">
        <w:t>Several bills were introduced in the 109</w:t>
      </w:r>
      <w:r w:rsidRPr="00572FD1">
        <w:rPr>
          <w:vertAlign w:val="superscript"/>
        </w:rPr>
        <w:t>th</w:t>
      </w:r>
      <w:r w:rsidRPr="00572FD1">
        <w:t xml:space="preserve"> Congress to amend IGRA to address concerns with off-reservation gaming.  These proposals would have set a dangerous precedent by subjecting all </w:t>
      </w:r>
      <w:r w:rsidR="00461228">
        <w:t>tribal governments</w:t>
      </w:r>
      <w:r w:rsidRPr="00572FD1">
        <w:t xml:space="preserve"> to the political whims of state and local governments. </w:t>
      </w:r>
    </w:p>
    <w:p w:rsidR="00E32FC0" w:rsidRPr="00572FD1" w:rsidRDefault="00E32FC0" w:rsidP="00FD6F10">
      <w:pPr>
        <w:jc w:val="both"/>
      </w:pPr>
    </w:p>
    <w:p w:rsidR="00E32FC0" w:rsidRPr="00572FD1" w:rsidRDefault="00E32FC0" w:rsidP="00FD6F10">
      <w:pPr>
        <w:jc w:val="both"/>
        <w:rPr>
          <w:szCs w:val="22"/>
        </w:rPr>
      </w:pPr>
      <w:r w:rsidRPr="00572FD1">
        <w:rPr>
          <w:szCs w:val="22"/>
        </w:rPr>
        <w:t xml:space="preserve">NIGA facilitated dozens of meetings with our Member Tribes and with the NIGA-NCAI Indian Gaming Task Force to debate the issue internally.  </w:t>
      </w:r>
      <w:r>
        <w:rPr>
          <w:szCs w:val="22"/>
        </w:rPr>
        <w:t xml:space="preserve">The elected tribal leadership was actively engaged in this important discussion. </w:t>
      </w:r>
      <w:r w:rsidRPr="00572FD1">
        <w:rPr>
          <w:szCs w:val="22"/>
        </w:rPr>
        <w:t xml:space="preserve">The result of these negotiations was NIGA Resolutions adopted in 2006 and 2007 that opposed the proposals to amend IGRA and undermine tribal sovereignty. </w:t>
      </w:r>
      <w:r w:rsidR="00461228">
        <w:rPr>
          <w:szCs w:val="22"/>
        </w:rPr>
        <w:t>One of these Resolutions</w:t>
      </w:r>
      <w:r w:rsidRPr="00572FD1">
        <w:rPr>
          <w:szCs w:val="22"/>
        </w:rPr>
        <w:t xml:space="preserve"> calls upon all tribal governments to respect the homelands and aboriginal terri</w:t>
      </w:r>
      <w:r w:rsidR="00BD24EA">
        <w:rPr>
          <w:szCs w:val="22"/>
        </w:rPr>
        <w:t>tory of our brother and sister t</w:t>
      </w:r>
      <w:r w:rsidRPr="00572FD1">
        <w:rPr>
          <w:szCs w:val="22"/>
        </w:rPr>
        <w:t>ribes.  In addition, it acknowledges and urges the United States to uphold its legal and moral fiduciary trust obligations to ALL federally recognized Indian tribes, including tribes that could be impacted by off reservation gaming</w:t>
      </w:r>
      <w:r w:rsidR="00461228">
        <w:rPr>
          <w:szCs w:val="22"/>
        </w:rPr>
        <w:t>.  NCAI</w:t>
      </w:r>
      <w:r w:rsidRPr="00572FD1">
        <w:rPr>
          <w:szCs w:val="22"/>
        </w:rPr>
        <w:t xml:space="preserve"> adopted similar resolutions.  </w:t>
      </w:r>
    </w:p>
    <w:p w:rsidR="00E32FC0" w:rsidRPr="00572FD1" w:rsidRDefault="00E32FC0" w:rsidP="00FD6F10">
      <w:pPr>
        <w:jc w:val="both"/>
        <w:rPr>
          <w:szCs w:val="22"/>
        </w:rPr>
      </w:pPr>
    </w:p>
    <w:p w:rsidR="00E32FC0" w:rsidRPr="006171CC" w:rsidRDefault="00E32FC0" w:rsidP="00FD6F10">
      <w:pPr>
        <w:widowControl w:val="0"/>
        <w:autoSpaceDE w:val="0"/>
        <w:autoSpaceDN w:val="0"/>
        <w:adjustRightInd w:val="0"/>
        <w:jc w:val="both"/>
        <w:rPr>
          <w:rFonts w:cs="N&gt;∏Ôˇø&lt;ú—"/>
          <w:szCs w:val="22"/>
        </w:rPr>
      </w:pPr>
      <w:r w:rsidRPr="00572FD1">
        <w:rPr>
          <w:szCs w:val="22"/>
        </w:rPr>
        <w:t xml:space="preserve">In </w:t>
      </w:r>
      <w:r>
        <w:rPr>
          <w:szCs w:val="22"/>
        </w:rPr>
        <w:t xml:space="preserve">recent Congress’, including </w:t>
      </w:r>
      <w:r w:rsidRPr="00572FD1">
        <w:rPr>
          <w:szCs w:val="22"/>
        </w:rPr>
        <w:t>the current 113</w:t>
      </w:r>
      <w:r w:rsidRPr="00572FD1">
        <w:rPr>
          <w:szCs w:val="22"/>
          <w:vertAlign w:val="superscript"/>
        </w:rPr>
        <w:t>th</w:t>
      </w:r>
      <w:r w:rsidRPr="00572FD1">
        <w:rPr>
          <w:szCs w:val="22"/>
        </w:rPr>
        <w:t xml:space="preserve"> Congress, the issue of </w:t>
      </w:r>
      <w:r>
        <w:rPr>
          <w:szCs w:val="22"/>
        </w:rPr>
        <w:t xml:space="preserve">land into trust for gaming purposes </w:t>
      </w:r>
      <w:r w:rsidRPr="00572FD1">
        <w:rPr>
          <w:szCs w:val="22"/>
        </w:rPr>
        <w:t xml:space="preserve">is again </w:t>
      </w:r>
      <w:r>
        <w:rPr>
          <w:szCs w:val="22"/>
        </w:rPr>
        <w:t xml:space="preserve">being discussed.  </w:t>
      </w:r>
      <w:r w:rsidRPr="00F025AE">
        <w:rPr>
          <w:b/>
          <w:szCs w:val="22"/>
        </w:rPr>
        <w:t>NIGA’s Board met in October of 2013 and reaffirmed our past resolutions 1-PHX-GM-3-28-07</w:t>
      </w:r>
      <w:r w:rsidRPr="00F025AE">
        <w:rPr>
          <w:rStyle w:val="FootnoteReference"/>
          <w:b/>
          <w:szCs w:val="22"/>
        </w:rPr>
        <w:footnoteReference w:id="6"/>
      </w:r>
      <w:r w:rsidRPr="00F025AE">
        <w:rPr>
          <w:b/>
          <w:szCs w:val="22"/>
        </w:rPr>
        <w:t xml:space="preserve">, which reaffirmed </w:t>
      </w:r>
      <w:r>
        <w:rPr>
          <w:b/>
          <w:szCs w:val="22"/>
        </w:rPr>
        <w:t xml:space="preserve">our consensus 2006 </w:t>
      </w:r>
      <w:r w:rsidRPr="00F025AE">
        <w:rPr>
          <w:b/>
          <w:szCs w:val="22"/>
        </w:rPr>
        <w:t xml:space="preserve">Albuquerque Resolution 2-ABQ-4-4-06 on this important issue.  </w:t>
      </w:r>
      <w:r w:rsidR="006171CC" w:rsidRPr="006171CC">
        <w:rPr>
          <w:szCs w:val="22"/>
        </w:rPr>
        <w:t>The Title of the 2006 Resolution was “</w:t>
      </w:r>
      <w:r w:rsidR="006171CC" w:rsidRPr="006171CC">
        <w:rPr>
          <w:rFonts w:cs="N&gt;∏Ôˇø&lt;ú—"/>
          <w:szCs w:val="22"/>
        </w:rPr>
        <w:t>Supporting The Secretary Of Interior’s Promulgation Of Regulations Concerning Gaming On After-Acquired Lands and opposing the provisions of S. 2078 and H.R. 4893 that would amend Section 20 of the Indian Gaming Regulatory Act (IGRA).</w:t>
      </w:r>
      <w:r w:rsidR="006171CC">
        <w:rPr>
          <w:rFonts w:cs="N&gt;∏Ôˇø&lt;ú—"/>
          <w:szCs w:val="22"/>
        </w:rPr>
        <w:t xml:space="preserve"> </w:t>
      </w:r>
      <w:r w:rsidR="006171CC">
        <w:t xml:space="preserve">While Interior has since promulgated </w:t>
      </w:r>
      <w:r w:rsidR="006171CC">
        <w:lastRenderedPageBreak/>
        <w:t>regulations to implement IGRA’s Section 20 enforcement of the regulation has been at times unclear and other times inconsistent.</w:t>
      </w:r>
    </w:p>
    <w:p w:rsidR="00E32FC0" w:rsidRPr="006171CC" w:rsidRDefault="00E32FC0" w:rsidP="00FD6F10">
      <w:pPr>
        <w:jc w:val="both"/>
        <w:rPr>
          <w:szCs w:val="22"/>
        </w:rPr>
      </w:pPr>
    </w:p>
    <w:p w:rsidR="00E32FC0" w:rsidRPr="00572FD1" w:rsidRDefault="00E32FC0" w:rsidP="00FD6F10">
      <w:pPr>
        <w:jc w:val="both"/>
      </w:pPr>
      <w:r w:rsidRPr="006171CC">
        <w:rPr>
          <w:szCs w:val="22"/>
        </w:rPr>
        <w:t>The NIGA Tribal Membership’s position on</w:t>
      </w:r>
      <w:r>
        <w:rPr>
          <w:szCs w:val="22"/>
        </w:rPr>
        <w:t xml:space="preserve"> land into trust for gaming purposes </w:t>
      </w:r>
      <w:r w:rsidRPr="00572FD1">
        <w:rPr>
          <w:szCs w:val="22"/>
        </w:rPr>
        <w:t xml:space="preserve">acknowledges that federal legislation must uphold the existing policy of strengthening Indian self-determination and tribal governments.  At the same time, our position acknowledges and urges respect for the diversity </w:t>
      </w:r>
      <w:r w:rsidRPr="00572FD1">
        <w:t>of our Member Tribes and the unique issues</w:t>
      </w:r>
      <w:r w:rsidR="00BD24EA">
        <w:t xml:space="preserve"> and needs that each sovereign t</w:t>
      </w:r>
      <w:r w:rsidRPr="00572FD1">
        <w:t xml:space="preserve">ribe faces at home. </w:t>
      </w:r>
    </w:p>
    <w:p w:rsidR="00793623" w:rsidRDefault="00793623"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6B5088" w:rsidRDefault="006B5088" w:rsidP="00FD6F10">
      <w:pPr>
        <w:ind w:firstLine="720"/>
        <w:jc w:val="both"/>
        <w:rPr>
          <w:b/>
          <w:i/>
        </w:rPr>
      </w:pPr>
      <w:r w:rsidRPr="00572FD1">
        <w:rPr>
          <w:b/>
          <w:i/>
        </w:rPr>
        <w:t xml:space="preserve">Rebuilding </w:t>
      </w:r>
      <w:r>
        <w:rPr>
          <w:b/>
          <w:i/>
        </w:rPr>
        <w:t>Our Tribal Land Base</w:t>
      </w:r>
      <w:r w:rsidR="00FD6F10">
        <w:rPr>
          <w:b/>
          <w:i/>
        </w:rPr>
        <w:t>s</w:t>
      </w:r>
    </w:p>
    <w:p w:rsidR="006B5088" w:rsidRDefault="006B5088" w:rsidP="00FD6F10">
      <w:pPr>
        <w:jc w:val="both"/>
        <w:rPr>
          <w:b/>
          <w:i/>
        </w:rPr>
      </w:pPr>
    </w:p>
    <w:p w:rsidR="006B5088" w:rsidRPr="00572FD1" w:rsidRDefault="006B5088" w:rsidP="00FD6F10">
      <w:pPr>
        <w:jc w:val="both"/>
      </w:pPr>
      <w:r w:rsidRPr="00572FD1">
        <w:t xml:space="preserve">A separate issue that has wrongly been linked to </w:t>
      </w:r>
      <w:r w:rsidR="0083104E">
        <w:t>so-called “</w:t>
      </w:r>
      <w:r w:rsidRPr="00572FD1">
        <w:t>off-reservation gaming</w:t>
      </w:r>
      <w:r w:rsidR="0083104E">
        <w:t>”</w:t>
      </w:r>
      <w:r w:rsidRPr="00572FD1">
        <w:t xml:space="preserve"> is the important issue of restoring tribal homelands.  For five years, NIGA and all of Indian Country has been dedicated to enacting legislative to reserve the Supreme Court’s attack in the 2009 </w:t>
      </w:r>
      <w:r w:rsidRPr="00572FD1">
        <w:rPr>
          <w:i/>
        </w:rPr>
        <w:t>Carcieri v. Salazar</w:t>
      </w:r>
      <w:r w:rsidRPr="00572FD1">
        <w:t xml:space="preserve"> decision.  The decision strikes at the core of tribal sovereignty: the ability of Tribes to restore our homelands. The results of the </w:t>
      </w:r>
      <w:r w:rsidRPr="00572FD1">
        <w:rPr>
          <w:i/>
        </w:rPr>
        <w:t>Carcieri</w:t>
      </w:r>
      <w:r w:rsidRPr="00572FD1">
        <w:t xml:space="preserve"> decision across Indian Country are widespread, killing jobs and deterring investment and economic development on Indian lands.  </w:t>
      </w:r>
    </w:p>
    <w:p w:rsidR="006B5088" w:rsidRPr="00572FD1" w:rsidRDefault="006B5088" w:rsidP="00FD6F10">
      <w:pPr>
        <w:jc w:val="both"/>
      </w:pPr>
    </w:p>
    <w:p w:rsidR="006B5088" w:rsidRPr="00572FD1" w:rsidRDefault="006B5088" w:rsidP="00FD6F10">
      <w:pPr>
        <w:jc w:val="both"/>
      </w:pPr>
      <w:r w:rsidRPr="00572FD1">
        <w:t xml:space="preserve">The decision has led to dozens of related federal court challenges, including </w:t>
      </w:r>
      <w:r w:rsidRPr="00572FD1">
        <w:rPr>
          <w:i/>
        </w:rPr>
        <w:t>Patchak</w:t>
      </w:r>
      <w:r w:rsidRPr="00572FD1">
        <w:t xml:space="preserve"> and more recently the </w:t>
      </w:r>
      <w:r w:rsidRPr="00572FD1">
        <w:rPr>
          <w:i/>
        </w:rPr>
        <w:t>Big Lagoon Rancheria v. California</w:t>
      </w:r>
      <w:r w:rsidRPr="00572FD1">
        <w:t xml:space="preserve"> decision.  </w:t>
      </w:r>
    </w:p>
    <w:p w:rsidR="006B5088" w:rsidRPr="00572FD1" w:rsidRDefault="006B5088" w:rsidP="00FD6F10">
      <w:pPr>
        <w:jc w:val="both"/>
      </w:pPr>
    </w:p>
    <w:p w:rsidR="006B5088" w:rsidRPr="00572FD1" w:rsidRDefault="006B5088" w:rsidP="00FD6F10">
      <w:pPr>
        <w:jc w:val="both"/>
      </w:pPr>
      <w:r w:rsidRPr="00572FD1">
        <w:t xml:space="preserve">Three years after issuing the </w:t>
      </w:r>
      <w:r w:rsidRPr="00572FD1">
        <w:rPr>
          <w:i/>
        </w:rPr>
        <w:t>Carcieri</w:t>
      </w:r>
      <w:r w:rsidRPr="00572FD1">
        <w:t xml:space="preserve"> decision, the U.S. Supreme Court in June of 2012 compounded its attack on tribal governments issuing the decision in </w:t>
      </w:r>
      <w:r w:rsidRPr="00572FD1">
        <w:rPr>
          <w:i/>
        </w:rPr>
        <w:t>Match-E-Be-Nash-She-Wish Band of Potawatomi v. Patchak</w:t>
      </w:r>
      <w:r w:rsidRPr="00572FD1">
        <w:t xml:space="preserve">.  The </w:t>
      </w:r>
      <w:r w:rsidRPr="00572FD1">
        <w:rPr>
          <w:i/>
        </w:rPr>
        <w:t>Patchak</w:t>
      </w:r>
      <w:r w:rsidRPr="00572FD1">
        <w:t xml:space="preserve"> </w:t>
      </w:r>
      <w:r w:rsidRPr="00572FD1">
        <w:rPr>
          <w:color w:val="242424"/>
          <w:szCs w:val="26"/>
        </w:rPr>
        <w:t xml:space="preserve">Court held that any individual has standing under the Administrative Procedures Act (APA) to bring a federal lawsuit to challenge the Interior Department’s tribal land to trust determinations.  The Court reasoned that Patchak’s claim falls within the “zone-of-interests” that the IRA regulates. The zone-of-interests standard is subject to a low threshold, and merely requires a recognizable relation to the acquisition or use of Indian lands. As a result, the </w:t>
      </w:r>
      <w:r w:rsidRPr="00572FD1">
        <w:rPr>
          <w:i/>
          <w:color w:val="242424"/>
          <w:szCs w:val="26"/>
        </w:rPr>
        <w:t>Patchak</w:t>
      </w:r>
      <w:r w:rsidRPr="00572FD1">
        <w:rPr>
          <w:color w:val="242424"/>
          <w:szCs w:val="26"/>
        </w:rPr>
        <w:t xml:space="preserve"> case opens up to legal challenges ALL tribal land to trust decisions made within the past six years, which is the statute of limitations under the APA.  </w:t>
      </w:r>
    </w:p>
    <w:p w:rsidR="006B5088" w:rsidRPr="00572FD1" w:rsidRDefault="006B5088" w:rsidP="00FD6F10">
      <w:pPr>
        <w:jc w:val="both"/>
      </w:pPr>
    </w:p>
    <w:p w:rsidR="006B5088" w:rsidRPr="00572FD1" w:rsidRDefault="0083104E" w:rsidP="00FD6F10">
      <w:pPr>
        <w:jc w:val="both"/>
      </w:pPr>
      <w:r>
        <w:t>O</w:t>
      </w:r>
      <w:r w:rsidR="006B5088" w:rsidRPr="00572FD1">
        <w:t xml:space="preserve">n January 21, 2014, the Ninth Circuit, in </w:t>
      </w:r>
      <w:r w:rsidR="006B5088" w:rsidRPr="00572FD1">
        <w:rPr>
          <w:i/>
        </w:rPr>
        <w:t xml:space="preserve">Big Lagoon, </w:t>
      </w:r>
      <w:r w:rsidR="006B5088" w:rsidRPr="00572FD1">
        <w:t xml:space="preserve">further raised the urgency for a legislative fix to the land into trust issue. The court, in this </w:t>
      </w:r>
      <w:r w:rsidR="006B5088" w:rsidRPr="00572FD1">
        <w:rPr>
          <w:color w:val="1A1A1A"/>
          <w:szCs w:val="40"/>
        </w:rPr>
        <w:t>highly questionable decision, refused to res</w:t>
      </w:r>
      <w:r w:rsidR="002C779F">
        <w:rPr>
          <w:color w:val="1A1A1A"/>
          <w:szCs w:val="40"/>
        </w:rPr>
        <w:t>pect the status of Indian lands</w:t>
      </w:r>
      <w:r w:rsidR="006B5088" w:rsidRPr="00572FD1">
        <w:rPr>
          <w:color w:val="1A1A1A"/>
          <w:szCs w:val="40"/>
        </w:rPr>
        <w:t xml:space="preserve"> placed into trust 20 years ago.  It conducted an ad hoc determination of whether the Tribe was under federal jurisdiction—establishing a new and higher bar.  </w:t>
      </w:r>
    </w:p>
    <w:p w:rsidR="006B5088" w:rsidRPr="00572FD1" w:rsidRDefault="006B5088" w:rsidP="00FD6F10">
      <w:pPr>
        <w:jc w:val="both"/>
      </w:pPr>
    </w:p>
    <w:p w:rsidR="006B5088" w:rsidRPr="00572FD1" w:rsidRDefault="006B5088" w:rsidP="00FD6F10">
      <w:pPr>
        <w:jc w:val="both"/>
      </w:pPr>
      <w:r w:rsidRPr="00572FD1">
        <w:t xml:space="preserve">While </w:t>
      </w:r>
      <w:r w:rsidRPr="00572FD1">
        <w:rPr>
          <w:i/>
        </w:rPr>
        <w:t>Carcieri</w:t>
      </w:r>
      <w:r w:rsidRPr="00572FD1">
        <w:t xml:space="preserve"> initially divided Indian Country into two classes of Tribes, the </w:t>
      </w:r>
      <w:r w:rsidR="00FB3E19" w:rsidRPr="00572FD1">
        <w:rPr>
          <w:i/>
        </w:rPr>
        <w:t>Patchak</w:t>
      </w:r>
      <w:r w:rsidRPr="00572FD1">
        <w:t xml:space="preserve"> and </w:t>
      </w:r>
      <w:r w:rsidRPr="00572FD1">
        <w:rPr>
          <w:i/>
        </w:rPr>
        <w:t>Big Lagoon</w:t>
      </w:r>
      <w:r w:rsidRPr="00572FD1">
        <w:t xml:space="preserve"> decisions hold potential to threaten the existing trust lands of ALL tribal governments.  </w:t>
      </w:r>
    </w:p>
    <w:p w:rsidR="006B5088" w:rsidRPr="00572FD1" w:rsidRDefault="006B5088" w:rsidP="00FD6F10">
      <w:pPr>
        <w:jc w:val="both"/>
      </w:pPr>
    </w:p>
    <w:p w:rsidR="006B5088" w:rsidRPr="002C779F" w:rsidRDefault="006B5088" w:rsidP="00FD6F10">
      <w:pPr>
        <w:widowControl w:val="0"/>
        <w:autoSpaceDE w:val="0"/>
        <w:autoSpaceDN w:val="0"/>
        <w:adjustRightInd w:val="0"/>
        <w:spacing w:after="320"/>
        <w:jc w:val="both"/>
        <w:rPr>
          <w:szCs w:val="32"/>
        </w:rPr>
      </w:pPr>
      <w:r w:rsidRPr="00572FD1">
        <w:rPr>
          <w:szCs w:val="32"/>
        </w:rPr>
        <w:t xml:space="preserve">For five years, Indian Country has worked with Congress to enact a legislative fix that would take this issue out of the hands of the federal courts and restore certainty to the sovereign status of Indian lands.  However, we’ve encountered obstacles from folks who view </w:t>
      </w:r>
      <w:r w:rsidRPr="00572FD1">
        <w:rPr>
          <w:i/>
          <w:iCs/>
          <w:szCs w:val="32"/>
        </w:rPr>
        <w:t>Carcieri</w:t>
      </w:r>
      <w:r w:rsidRPr="00572FD1">
        <w:rPr>
          <w:szCs w:val="32"/>
        </w:rPr>
        <w:t xml:space="preserve"> as an Indian gaming issue.  These distortions ignore the fact that the </w:t>
      </w:r>
      <w:r w:rsidRPr="00572FD1">
        <w:rPr>
          <w:i/>
          <w:szCs w:val="32"/>
        </w:rPr>
        <w:t>Carcieri</w:t>
      </w:r>
      <w:r w:rsidRPr="00572FD1">
        <w:rPr>
          <w:szCs w:val="32"/>
        </w:rPr>
        <w:t xml:space="preserve"> case involved a housing development for tribal elders, not a gaming project. Indian gaming remains subject to IGRA, and off-reservation gaming is subject to that act and the regulations put in place by Interior. None of </w:t>
      </w:r>
      <w:r w:rsidRPr="00572FD1">
        <w:rPr>
          <w:szCs w:val="32"/>
        </w:rPr>
        <w:lastRenderedPageBreak/>
        <w:t xml:space="preserve">this involves the land-into-trust process under the Indian Reorganization Act.  Instead, </w:t>
      </w:r>
      <w:r w:rsidRPr="00572FD1">
        <w:rPr>
          <w:i/>
          <w:szCs w:val="32"/>
        </w:rPr>
        <w:t>Carcieri</w:t>
      </w:r>
      <w:r w:rsidRPr="00572FD1">
        <w:rPr>
          <w:szCs w:val="32"/>
        </w:rPr>
        <w:t xml:space="preserve"> is about jobs, cultural preservation and securing a land base to improve Indian housing, education, health care and other basic tribal government services for our citizens.</w:t>
      </w:r>
    </w:p>
    <w:p w:rsidR="00135CDA" w:rsidRPr="00461176" w:rsidRDefault="00135CDA"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461176">
        <w:rPr>
          <w:b/>
          <w:color w:val="000000"/>
        </w:rPr>
        <w:t>CONCLUSION</w:t>
      </w:r>
    </w:p>
    <w:p w:rsidR="00135CDA" w:rsidRPr="00461176" w:rsidRDefault="00135CDA"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83104E" w:rsidRDefault="00BD24EA"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As the </w:t>
      </w:r>
      <w:r w:rsidRPr="00FD6F10">
        <w:rPr>
          <w:i/>
        </w:rPr>
        <w:t>Cabazon</w:t>
      </w:r>
      <w:r>
        <w:t xml:space="preserve"> Court acknowledged, </w:t>
      </w:r>
      <w:r w:rsidR="00793623">
        <w:t xml:space="preserve">Indian gaming </w:t>
      </w:r>
      <w:r>
        <w:t xml:space="preserve">is Indian self-determination.  Native Nations, as separate governments acknowledged in the Constitution, began using contemporary Indian gaming to generate revenue to provide for the basic needs of tribal communities. </w:t>
      </w:r>
      <w:r w:rsidR="00793623">
        <w:t xml:space="preserve"> </w:t>
      </w:r>
      <w:r>
        <w:t xml:space="preserve">Congress enacted </w:t>
      </w:r>
      <w:r w:rsidR="00793623">
        <w:t xml:space="preserve">IGRA </w:t>
      </w:r>
      <w:r>
        <w:t xml:space="preserve">in part to </w:t>
      </w:r>
      <w:r w:rsidR="00793623">
        <w:t>foster and stren</w:t>
      </w:r>
      <w:r>
        <w:t xml:space="preserve">gthen these actions.  While IGRA has its </w:t>
      </w:r>
      <w:r w:rsidR="00793623">
        <w:t>shortfalls</w:t>
      </w:r>
      <w:r>
        <w:t>, overall the Act’s first twenty-five years have</w:t>
      </w:r>
      <w:r w:rsidR="00793623">
        <w:t xml:space="preserve"> delivered on its stated goals of strengthening tribal governments and empowering Indian communities.  For our part, tribal governments </w:t>
      </w:r>
      <w:r w:rsidR="00896B6D" w:rsidRPr="00896B6D">
        <w:rPr>
          <w:szCs w:val="36"/>
        </w:rPr>
        <w:t xml:space="preserve">nationwide </w:t>
      </w:r>
      <w:r w:rsidR="00C54428">
        <w:rPr>
          <w:szCs w:val="36"/>
        </w:rPr>
        <w:t>have</w:t>
      </w:r>
      <w:r w:rsidR="00896B6D" w:rsidRPr="00896B6D">
        <w:rPr>
          <w:szCs w:val="36"/>
        </w:rPr>
        <w:t xml:space="preserve"> committed</w:t>
      </w:r>
      <w:r w:rsidR="00C54428">
        <w:rPr>
          <w:szCs w:val="36"/>
        </w:rPr>
        <w:t xml:space="preserve"> significant resources</w:t>
      </w:r>
      <w:r w:rsidR="00896B6D" w:rsidRPr="00896B6D">
        <w:rPr>
          <w:szCs w:val="36"/>
        </w:rPr>
        <w:t xml:space="preserve"> to </w:t>
      </w:r>
      <w:r w:rsidR="00793623">
        <w:rPr>
          <w:szCs w:val="36"/>
        </w:rPr>
        <w:t xml:space="preserve">protecting these gains by </w:t>
      </w:r>
      <w:r w:rsidR="00896B6D" w:rsidRPr="00896B6D">
        <w:rPr>
          <w:szCs w:val="36"/>
        </w:rPr>
        <w:t xml:space="preserve">maintaining a strong, seamless, and comprehensive system of regulation.  Much of the credit for this success goes to the tribal leaders who </w:t>
      </w:r>
      <w:r>
        <w:rPr>
          <w:szCs w:val="36"/>
        </w:rPr>
        <w:t>make</w:t>
      </w:r>
      <w:r w:rsidR="00896B6D" w:rsidRPr="00896B6D">
        <w:rPr>
          <w:szCs w:val="36"/>
        </w:rPr>
        <w:t xml:space="preserve"> the</w:t>
      </w:r>
      <w:r w:rsidR="00C54428">
        <w:rPr>
          <w:szCs w:val="36"/>
        </w:rPr>
        <w:t xml:space="preserve"> </w:t>
      </w:r>
      <w:r w:rsidR="00E40750">
        <w:rPr>
          <w:szCs w:val="36"/>
        </w:rPr>
        <w:t>decision to spend more than $422</w:t>
      </w:r>
      <w:r w:rsidR="00896B6D" w:rsidRPr="00896B6D">
        <w:rPr>
          <w:szCs w:val="36"/>
        </w:rPr>
        <w:t xml:space="preserve"> million </w:t>
      </w:r>
      <w:r w:rsidR="00BC6802">
        <w:rPr>
          <w:szCs w:val="36"/>
        </w:rPr>
        <w:t xml:space="preserve">each year </w:t>
      </w:r>
      <w:r w:rsidR="00896B6D" w:rsidRPr="00896B6D">
        <w:rPr>
          <w:szCs w:val="36"/>
        </w:rPr>
        <w:t xml:space="preserve">to regulate their operations, and to the thousands of men and women who are day-to-day front line regulators of Indian gaming operations. </w:t>
      </w:r>
      <w:r w:rsidR="00896B6D" w:rsidRPr="00896B6D">
        <w:t xml:space="preserve"> </w:t>
      </w:r>
    </w:p>
    <w:p w:rsidR="002D4BD1" w:rsidRDefault="002D4BD1"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967F54" w:rsidRDefault="002D4BD1" w:rsidP="00967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Indian gaming is one tool that is help</w:t>
      </w:r>
      <w:r w:rsidR="00967F54">
        <w:t>ing tribal governments overcome</w:t>
      </w:r>
      <w:r>
        <w:t xml:space="preserve"> social and economic ills resulting from </w:t>
      </w:r>
      <w:r w:rsidR="00967F54">
        <w:t xml:space="preserve">decades of injustice. However, Indian gaming can’t do it alone and Indian Country can’t do it alone. </w:t>
      </w:r>
    </w:p>
    <w:p w:rsidR="00967F54" w:rsidRDefault="00967F54" w:rsidP="00967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896B6D" w:rsidRPr="00967F54" w:rsidRDefault="00967F54"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Over the next twenty-five years, Indian gaming will face changes and constant challenges.  To anticipate those changes and meet those challenges, Indian Country will rely on a strong partnership with this Committee, Congress and the Administration to ensure that the goals of IGRA continue to meet its stated intent of strengthening tribal governments and a means of achieving tribal economic self-sufficiency.    Working together, w</w:t>
      </w:r>
      <w:r w:rsidR="00686E97">
        <w:t>e will make a brighter future for Indian country. Our children should expect nothing less than our best efforts to provide safe, healthy tribal homelands.</w:t>
      </w:r>
    </w:p>
    <w:p w:rsidR="00896B6D" w:rsidRPr="00896B6D" w:rsidRDefault="00896B6D" w:rsidP="00FD6F10">
      <w:pPr>
        <w:jc w:val="both"/>
      </w:pPr>
    </w:p>
    <w:p w:rsidR="003075B0" w:rsidRPr="00461176" w:rsidRDefault="00896B6D" w:rsidP="00FD6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96B6D">
        <w:rPr>
          <w:szCs w:val="36"/>
        </w:rPr>
        <w:t xml:space="preserve">Chairman </w:t>
      </w:r>
      <w:r w:rsidR="00800BA2">
        <w:rPr>
          <w:szCs w:val="36"/>
        </w:rPr>
        <w:t xml:space="preserve">Tester </w:t>
      </w:r>
      <w:r w:rsidRPr="00896B6D">
        <w:rPr>
          <w:szCs w:val="36"/>
        </w:rPr>
        <w:t>and Members of the Committee</w:t>
      </w:r>
      <w:r w:rsidR="00800BA2">
        <w:rPr>
          <w:szCs w:val="36"/>
        </w:rPr>
        <w:t xml:space="preserve"> I again</w:t>
      </w:r>
      <w:r w:rsidRPr="00896B6D">
        <w:rPr>
          <w:szCs w:val="36"/>
        </w:rPr>
        <w:t xml:space="preserve"> thank you for this opportunity to testify</w:t>
      </w:r>
      <w:r w:rsidR="00C54428">
        <w:rPr>
          <w:szCs w:val="36"/>
        </w:rPr>
        <w:t xml:space="preserve"> today</w:t>
      </w:r>
      <w:r w:rsidRPr="00896B6D">
        <w:rPr>
          <w:szCs w:val="36"/>
        </w:rPr>
        <w:t>.</w:t>
      </w:r>
      <w:r w:rsidR="00800BA2">
        <w:rPr>
          <w:szCs w:val="36"/>
        </w:rPr>
        <w:t xml:space="preserve">  </w:t>
      </w:r>
      <w:r w:rsidR="00D1703C">
        <w:rPr>
          <w:szCs w:val="36"/>
        </w:rPr>
        <w:t>I am prepared to answer any questions you have.</w:t>
      </w:r>
    </w:p>
    <w:sectPr w:rsidR="003075B0" w:rsidRPr="00461176" w:rsidSect="0036160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DB" w:rsidRDefault="006A37DB" w:rsidP="00D53005">
      <w:r>
        <w:separator/>
      </w:r>
    </w:p>
  </w:endnote>
  <w:endnote w:type="continuationSeparator" w:id="0">
    <w:p w:rsidR="006A37DB" w:rsidRDefault="006A37DB" w:rsidP="00D5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gt;∏Ôˇø&lt;ú—">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5737"/>
      <w:docPartObj>
        <w:docPartGallery w:val="Page Numbers (Bottom of Page)"/>
        <w:docPartUnique/>
      </w:docPartObj>
    </w:sdtPr>
    <w:sdtEndPr/>
    <w:sdtContent>
      <w:p w:rsidR="002D4BD1" w:rsidRDefault="006A37DB">
        <w:pPr>
          <w:pStyle w:val="Footer"/>
          <w:jc w:val="center"/>
        </w:pPr>
        <w:r>
          <w:fldChar w:fldCharType="begin"/>
        </w:r>
        <w:r>
          <w:instrText xml:space="preserve"> PAGE   \* MERGEFORMAT </w:instrText>
        </w:r>
        <w:r>
          <w:fldChar w:fldCharType="separate"/>
        </w:r>
        <w:r w:rsidR="00FB3E19">
          <w:rPr>
            <w:noProof/>
          </w:rPr>
          <w:t>14</w:t>
        </w:r>
        <w:r>
          <w:rPr>
            <w:noProof/>
          </w:rPr>
          <w:fldChar w:fldCharType="end"/>
        </w:r>
      </w:p>
    </w:sdtContent>
  </w:sdt>
  <w:p w:rsidR="002D4BD1" w:rsidRDefault="002D4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DB" w:rsidRDefault="006A37DB" w:rsidP="00D53005">
      <w:r>
        <w:separator/>
      </w:r>
    </w:p>
  </w:footnote>
  <w:footnote w:type="continuationSeparator" w:id="0">
    <w:p w:rsidR="006A37DB" w:rsidRDefault="006A37DB" w:rsidP="00D53005">
      <w:r>
        <w:continuationSeparator/>
      </w:r>
    </w:p>
  </w:footnote>
  <w:footnote w:id="1">
    <w:p w:rsidR="002D4BD1" w:rsidRDefault="002D4BD1">
      <w:pPr>
        <w:pStyle w:val="FootnoteText"/>
      </w:pPr>
      <w:r>
        <w:rPr>
          <w:rStyle w:val="FootnoteReference"/>
        </w:rPr>
        <w:footnoteRef/>
      </w:r>
      <w:r>
        <w:t xml:space="preserve"> Ancillary revenues include hotels, food and beverage, entertainment, and other activities related to a tribal government’s gaming operation.  </w:t>
      </w:r>
    </w:p>
  </w:footnote>
  <w:footnote w:id="2">
    <w:p w:rsidR="002D4BD1" w:rsidRDefault="002D4BD1" w:rsidP="007F5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Pr>
          <w:rStyle w:val="FootnoteReference"/>
        </w:rPr>
        <w:footnoteRef/>
      </w:r>
      <w:r>
        <w:t xml:space="preserve"> </w:t>
      </w:r>
      <w:r w:rsidRPr="003432D1">
        <w:rPr>
          <w:sz w:val="20"/>
          <w:szCs w:val="22"/>
        </w:rPr>
        <w:t xml:space="preserve">IGRA is clear that the tribal-state compacting process is limited to activities related to Indian gaming.  The Act provides that state may </w:t>
      </w:r>
      <w:r w:rsidRPr="003432D1">
        <w:rPr>
          <w:color w:val="000000"/>
          <w:sz w:val="20"/>
        </w:rPr>
        <w:t>negotiate for assessments in such amounts as are necessary to defray the costs of regulating gaming-related activity.  However, the Act is explicit in providing that it does not confer “upon a State or any of its political subdivisions authority to impose any tax, fee, charge, or other assessment upon an Indian tribe … to engage in a class III activity. No State may refuse to enter into [compact] negotiations … based upon the lack of authority in such State, or its political subdivisions, to impose such a tax, fee, charge, or other assessment.”</w:t>
      </w:r>
    </w:p>
    <w:p w:rsidR="002D4BD1" w:rsidRPr="003432D1" w:rsidRDefault="002D4BD1" w:rsidP="007F5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p>
  </w:footnote>
  <w:footnote w:id="3">
    <w:p w:rsidR="002D4BD1" w:rsidRDefault="002D4BD1" w:rsidP="004B461F">
      <w:pPr>
        <w:pStyle w:val="FootnoteText"/>
      </w:pPr>
      <w:r>
        <w:rPr>
          <w:rStyle w:val="FootnoteReference"/>
        </w:rPr>
        <w:footnoteRef/>
      </w:r>
      <w:r>
        <w:t xml:space="preserve"> NIGC Testimony before the Senate Committee on Indian Affairs, July 25, 2012.</w:t>
      </w:r>
    </w:p>
    <w:p w:rsidR="002D4BD1" w:rsidRDefault="002D4BD1" w:rsidP="004B461F">
      <w:pPr>
        <w:pStyle w:val="FootnoteText"/>
      </w:pPr>
    </w:p>
  </w:footnote>
  <w:footnote w:id="4">
    <w:p w:rsidR="002D4BD1" w:rsidRDefault="002D4BD1" w:rsidP="004B461F">
      <w:pPr>
        <w:pStyle w:val="FootnoteText"/>
      </w:pPr>
      <w:r>
        <w:rPr>
          <w:rStyle w:val="FootnoteReference"/>
        </w:rPr>
        <w:footnoteRef/>
      </w:r>
      <w:r>
        <w:t xml:space="preserve"> </w:t>
      </w:r>
      <w:r w:rsidRPr="009C721A">
        <w:rPr>
          <w:i/>
        </w:rPr>
        <w:t>Id</w:t>
      </w:r>
      <w:r>
        <w:t>.</w:t>
      </w:r>
    </w:p>
    <w:p w:rsidR="002D4BD1" w:rsidRDefault="002D4BD1" w:rsidP="004B461F">
      <w:pPr>
        <w:pStyle w:val="FootnoteText"/>
      </w:pPr>
      <w:r>
        <w:t xml:space="preserve"> </w:t>
      </w:r>
    </w:p>
  </w:footnote>
  <w:footnote w:id="5">
    <w:p w:rsidR="002D4BD1" w:rsidRPr="00FD6F10" w:rsidRDefault="002D4BD1">
      <w:pPr>
        <w:pStyle w:val="FootnoteText"/>
      </w:pPr>
      <w:r>
        <w:rPr>
          <w:rStyle w:val="FootnoteReference"/>
        </w:rPr>
        <w:footnoteRef/>
      </w:r>
      <w:r>
        <w:t xml:space="preserve"> Meister, “The Potential Economic Impact of the October 2007 Proposed Class II Gaming Regulations” submitted to the NIGC, February 1, 2008.  Found at </w:t>
      </w:r>
      <w:hyperlink r:id="rId1" w:history="1">
        <w:r w:rsidRPr="003C45EC">
          <w:rPr>
            <w:rStyle w:val="Hyperlink"/>
          </w:rPr>
          <w:t>http://www.nigc.gov/Portals/0/NIGC%20Uploads/lawsregulations/proposedamendments/MeisterReport2FINAL2108.pdf</w:t>
        </w:r>
      </w:hyperlink>
      <w:r>
        <w:t xml:space="preserve"> </w:t>
      </w:r>
    </w:p>
  </w:footnote>
  <w:footnote w:id="6">
    <w:p w:rsidR="002D4BD1" w:rsidRPr="00C5256C" w:rsidRDefault="002D4BD1" w:rsidP="00E32FC0">
      <w:pPr>
        <w:rPr>
          <w:sz w:val="16"/>
          <w:szCs w:val="16"/>
        </w:rPr>
      </w:pPr>
      <w:r w:rsidRPr="00C5256C">
        <w:rPr>
          <w:rStyle w:val="FootnoteReference"/>
          <w:sz w:val="16"/>
          <w:szCs w:val="16"/>
        </w:rPr>
        <w:footnoteRef/>
      </w:r>
      <w:r w:rsidRPr="00C5256C">
        <w:rPr>
          <w:sz w:val="16"/>
          <w:szCs w:val="16"/>
        </w:rPr>
        <w:t xml:space="preserve"> The resolved clause in the Phoenix Resolution states “NOW THEREFORE BE IT RESOLVED, that NIGA reaffirms the position taken in Resolution 2 ABQ 4-4-06, and will continue to work with the Department of the Interior on its efforts to promulgate regulations to implement Section 20 of IGRA and to ensure that full consultation with Indian Tribes nationwide is accomplished prior to promulgation of a final rule. “</w:t>
      </w:r>
    </w:p>
    <w:p w:rsidR="002D4BD1" w:rsidRPr="00C5256C" w:rsidRDefault="002D4BD1" w:rsidP="00E32FC0">
      <w:pPr>
        <w:rPr>
          <w:sz w:val="16"/>
          <w:szCs w:val="16"/>
        </w:rPr>
      </w:pPr>
    </w:p>
    <w:p w:rsidR="002D4BD1" w:rsidRPr="00C5256C" w:rsidRDefault="002D4BD1" w:rsidP="00E32FC0">
      <w:pPr>
        <w:rPr>
          <w:sz w:val="16"/>
          <w:szCs w:val="16"/>
        </w:rPr>
      </w:pPr>
      <w:r w:rsidRPr="00C5256C">
        <w:rPr>
          <w:sz w:val="16"/>
          <w:szCs w:val="16"/>
        </w:rPr>
        <w:t xml:space="preserve">The resolved clauses of the Albuquerque resolution state “NOW THEREFORE BE IT RESOLVED, NIGA strongly opposes amending Section 20 of the Indian Gaming Regulatory Act, as proposed in S. 2078 and H.R. 4893; BE IT FURTHER RESOLVED, NIGA opposes legislation that would diminish the sovereign rights of Tribal Governments and opposes any effort to subordinate Tribal Governments to local governments;  </w:t>
      </w:r>
    </w:p>
    <w:p w:rsidR="002D4BD1" w:rsidRPr="00C5256C" w:rsidRDefault="002D4BD1" w:rsidP="00E32FC0">
      <w:pPr>
        <w:rPr>
          <w:sz w:val="16"/>
          <w:szCs w:val="16"/>
        </w:rPr>
      </w:pPr>
      <w:r w:rsidRPr="00C5256C">
        <w:rPr>
          <w:sz w:val="16"/>
          <w:szCs w:val="16"/>
        </w:rPr>
        <w:t xml:space="preserve">BE IT FURTHER RESOLVED, NIGA does hereby call upon Tribal Governments proposing off-reservation gaming locations to promote positive relationships with State and local governments and minimize impacts on the aboriginal rights of nearby Tribes; </w:t>
      </w:r>
    </w:p>
    <w:p w:rsidR="002D4BD1" w:rsidRPr="00C5256C" w:rsidRDefault="002D4BD1" w:rsidP="00E32FC0">
      <w:pPr>
        <w:rPr>
          <w:sz w:val="16"/>
          <w:szCs w:val="16"/>
        </w:rPr>
      </w:pPr>
      <w:r w:rsidRPr="00C5256C">
        <w:rPr>
          <w:sz w:val="16"/>
          <w:szCs w:val="16"/>
        </w:rPr>
        <w:t>BE IT FURTHER RESOLVED, NIGA does hereby call upon Tribal Governments proposing off-reservation gaming locations under the Section 20 two-part Determination Process to demonstrate both: 1) aboriginal or historical connection; and 2) cultural ties, based upon actual inhabitance, to the proposed site, and to promote positive relationships with State and local governments and minimize impacts on the abori</w:t>
      </w:r>
      <w:r>
        <w:rPr>
          <w:sz w:val="16"/>
          <w:szCs w:val="16"/>
        </w:rPr>
        <w:t xml:space="preserve">ginal rights of nearby Tribes; </w:t>
      </w:r>
      <w:r w:rsidRPr="00C5256C">
        <w:rPr>
          <w:sz w:val="16"/>
          <w:szCs w:val="16"/>
        </w:rPr>
        <w:t xml:space="preserve">BE IT FURTHER RESOLVED, that NIGA calls upon state and Tribal Governments to work together to ensure that local government concerns are addressed through the existing Tribal-State Compact process and the Section 20 two-part determination process; </w:t>
      </w:r>
    </w:p>
    <w:p w:rsidR="002D4BD1" w:rsidRPr="00C5256C" w:rsidRDefault="002D4BD1" w:rsidP="00E32FC0">
      <w:pPr>
        <w:rPr>
          <w:sz w:val="16"/>
          <w:szCs w:val="16"/>
        </w:rPr>
      </w:pPr>
      <w:r w:rsidRPr="00C5256C">
        <w:rPr>
          <w:sz w:val="16"/>
          <w:szCs w:val="16"/>
        </w:rPr>
        <w:t>BE IT FURTHER RESOLVED, that NIGA does hereby call upon Congress</w:t>
      </w:r>
      <w:r w:rsidRPr="00C5256C">
        <w:rPr>
          <w:i/>
          <w:sz w:val="16"/>
          <w:szCs w:val="16"/>
        </w:rPr>
        <w:t xml:space="preserve"> </w:t>
      </w:r>
      <w:r w:rsidRPr="00C5256C">
        <w:rPr>
          <w:sz w:val="16"/>
          <w:szCs w:val="16"/>
        </w:rPr>
        <w:t xml:space="preserve">to adhere to the significant process set forth in IGRA’s Section 20 with due deliberation process of Congress and to refrain from appropriations riders that bypass Section 20 or otherwise amend IGRA; BE IT FINALLY RESOLVED, that NIGA supports the promulgation of regulations by the Department of Interior, working directly with Tribal Governments in accordance with Executive Order 13175, governing the implementation of the Section 20 two-part determination process, respecting the interests and rights of Tribal Governments, including nearby Indian Tribes, and state and local governments. </w:t>
      </w:r>
    </w:p>
    <w:p w:rsidR="002D4BD1" w:rsidRPr="00C5256C" w:rsidRDefault="002D4BD1" w:rsidP="00E32FC0">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DEA3F0"/>
    <w:lvl w:ilvl="0">
      <w:start w:val="1"/>
      <w:numFmt w:val="bullet"/>
      <w:pStyle w:val="ListBullet"/>
      <w:lvlText w:val=""/>
      <w:lvlJc w:val="left"/>
      <w:pPr>
        <w:tabs>
          <w:tab w:val="num" w:pos="720"/>
        </w:tabs>
        <w:ind w:left="0" w:firstLine="72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384783"/>
    <w:multiLevelType w:val="hybridMultilevel"/>
    <w:tmpl w:val="48E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C6FD6"/>
    <w:multiLevelType w:val="hybridMultilevel"/>
    <w:tmpl w:val="D85CEC20"/>
    <w:lvl w:ilvl="0" w:tplc="756043C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854E6C"/>
    <w:multiLevelType w:val="hybridMultilevel"/>
    <w:tmpl w:val="98F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84867"/>
    <w:multiLevelType w:val="hybridMultilevel"/>
    <w:tmpl w:val="AE4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91412"/>
    <w:multiLevelType w:val="multilevel"/>
    <w:tmpl w:val="F4D2A8AA"/>
    <w:lvl w:ilvl="0">
      <w:start w:val="1"/>
      <w:numFmt w:val="decimal"/>
      <w:pStyle w:val="Heading1"/>
      <w:lvlText w:val="%1."/>
      <w:lvlJc w:val="left"/>
      <w:pPr>
        <w:tabs>
          <w:tab w:val="num" w:pos="432"/>
        </w:tabs>
        <w:ind w:left="0" w:firstLine="0"/>
      </w:pPr>
      <w:rPr>
        <w:rFonts w:ascii="Times New Roman" w:hAnsi="Times New Roman" w:cs="Times New Roman" w:hint="default"/>
        <w:b w:val="0"/>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58A800A7"/>
    <w:multiLevelType w:val="hybridMultilevel"/>
    <w:tmpl w:val="CF1C124E"/>
    <w:lvl w:ilvl="0" w:tplc="BA9A2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17113"/>
    <w:multiLevelType w:val="hybridMultilevel"/>
    <w:tmpl w:val="A364D8EA"/>
    <w:lvl w:ilvl="0" w:tplc="04090001">
      <w:start w:val="1"/>
      <w:numFmt w:val="bullet"/>
      <w:lvlText w:val=""/>
      <w:lvlJc w:val="left"/>
      <w:pPr>
        <w:ind w:left="1080" w:hanging="360"/>
      </w:pPr>
      <w:rPr>
        <w:rFonts w:ascii="Symbol" w:hAnsi="Symbol" w:hint="default"/>
      </w:rPr>
    </w:lvl>
    <w:lvl w:ilvl="1" w:tplc="FA06720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CB55D7"/>
    <w:multiLevelType w:val="hybridMultilevel"/>
    <w:tmpl w:val="C472E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775505"/>
    <w:multiLevelType w:val="hybridMultilevel"/>
    <w:tmpl w:val="D9E85C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94FFC"/>
    <w:multiLevelType w:val="hybridMultilevel"/>
    <w:tmpl w:val="38F68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9"/>
  </w:num>
  <w:num w:numId="4">
    <w:abstractNumId w:val="8"/>
  </w:num>
  <w:num w:numId="5">
    <w:abstractNumId w:val="7"/>
  </w:num>
  <w:num w:numId="6">
    <w:abstractNumId w:val="3"/>
  </w:num>
  <w:num w:numId="7">
    <w:abstractNumId w:val="6"/>
  </w:num>
  <w:num w:numId="8">
    <w:abstractNumId w:val="10"/>
  </w:num>
  <w:num w:numId="9">
    <w:abstractNumId w:val="1"/>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C1"/>
    <w:rsid w:val="00006633"/>
    <w:rsid w:val="00015891"/>
    <w:rsid w:val="00033DA7"/>
    <w:rsid w:val="00036E07"/>
    <w:rsid w:val="000418E6"/>
    <w:rsid w:val="00042F4A"/>
    <w:rsid w:val="00043532"/>
    <w:rsid w:val="00047FF3"/>
    <w:rsid w:val="00066877"/>
    <w:rsid w:val="00076C9E"/>
    <w:rsid w:val="00093F09"/>
    <w:rsid w:val="00097EA2"/>
    <w:rsid w:val="000A4155"/>
    <w:rsid w:val="000B1814"/>
    <w:rsid w:val="000E1239"/>
    <w:rsid w:val="000F3352"/>
    <w:rsid w:val="000F65CE"/>
    <w:rsid w:val="001066DE"/>
    <w:rsid w:val="00111F12"/>
    <w:rsid w:val="00115C51"/>
    <w:rsid w:val="00132BEB"/>
    <w:rsid w:val="00135CDA"/>
    <w:rsid w:val="00144B76"/>
    <w:rsid w:val="00150D53"/>
    <w:rsid w:val="001537B1"/>
    <w:rsid w:val="00154AD1"/>
    <w:rsid w:val="001554C3"/>
    <w:rsid w:val="00166C65"/>
    <w:rsid w:val="00174B43"/>
    <w:rsid w:val="001762DC"/>
    <w:rsid w:val="00177785"/>
    <w:rsid w:val="00181F3B"/>
    <w:rsid w:val="00190C30"/>
    <w:rsid w:val="00192484"/>
    <w:rsid w:val="001B1137"/>
    <w:rsid w:val="001C27A5"/>
    <w:rsid w:val="001D3A45"/>
    <w:rsid w:val="001E2663"/>
    <w:rsid w:val="00206167"/>
    <w:rsid w:val="002075EF"/>
    <w:rsid w:val="002128D4"/>
    <w:rsid w:val="002218CB"/>
    <w:rsid w:val="002435B5"/>
    <w:rsid w:val="00243D07"/>
    <w:rsid w:val="0026183B"/>
    <w:rsid w:val="00267826"/>
    <w:rsid w:val="002750AD"/>
    <w:rsid w:val="002954D3"/>
    <w:rsid w:val="00295904"/>
    <w:rsid w:val="002C779F"/>
    <w:rsid w:val="002D4BD1"/>
    <w:rsid w:val="002D7743"/>
    <w:rsid w:val="003075B0"/>
    <w:rsid w:val="003143F2"/>
    <w:rsid w:val="00321E33"/>
    <w:rsid w:val="00321FCC"/>
    <w:rsid w:val="00332D2E"/>
    <w:rsid w:val="00333696"/>
    <w:rsid w:val="003366B6"/>
    <w:rsid w:val="00342CA8"/>
    <w:rsid w:val="003432D1"/>
    <w:rsid w:val="00345612"/>
    <w:rsid w:val="00346BDC"/>
    <w:rsid w:val="00352048"/>
    <w:rsid w:val="0035291F"/>
    <w:rsid w:val="00361609"/>
    <w:rsid w:val="00383534"/>
    <w:rsid w:val="00383659"/>
    <w:rsid w:val="00396DBF"/>
    <w:rsid w:val="003A04C2"/>
    <w:rsid w:val="003A1ECF"/>
    <w:rsid w:val="003A30E3"/>
    <w:rsid w:val="003A4AB5"/>
    <w:rsid w:val="003B1B1B"/>
    <w:rsid w:val="003B2077"/>
    <w:rsid w:val="003C2BB3"/>
    <w:rsid w:val="003C4374"/>
    <w:rsid w:val="003D3727"/>
    <w:rsid w:val="003D75C3"/>
    <w:rsid w:val="003E200F"/>
    <w:rsid w:val="003F4EA6"/>
    <w:rsid w:val="004035BD"/>
    <w:rsid w:val="00406484"/>
    <w:rsid w:val="004104E0"/>
    <w:rsid w:val="004137F5"/>
    <w:rsid w:val="00417012"/>
    <w:rsid w:val="004300B6"/>
    <w:rsid w:val="00432FA5"/>
    <w:rsid w:val="00433C84"/>
    <w:rsid w:val="00434821"/>
    <w:rsid w:val="004367DA"/>
    <w:rsid w:val="004477C1"/>
    <w:rsid w:val="00450362"/>
    <w:rsid w:val="00453B3B"/>
    <w:rsid w:val="00461176"/>
    <w:rsid w:val="00461228"/>
    <w:rsid w:val="004A46AE"/>
    <w:rsid w:val="004A530F"/>
    <w:rsid w:val="004B3449"/>
    <w:rsid w:val="004B461F"/>
    <w:rsid w:val="004C4612"/>
    <w:rsid w:val="004D4D09"/>
    <w:rsid w:val="004D59FA"/>
    <w:rsid w:val="004E31B0"/>
    <w:rsid w:val="004F0464"/>
    <w:rsid w:val="004F394E"/>
    <w:rsid w:val="00507BCC"/>
    <w:rsid w:val="00523805"/>
    <w:rsid w:val="00523CFB"/>
    <w:rsid w:val="0052512C"/>
    <w:rsid w:val="0052531F"/>
    <w:rsid w:val="00527D99"/>
    <w:rsid w:val="00536B42"/>
    <w:rsid w:val="005456A1"/>
    <w:rsid w:val="00561BF7"/>
    <w:rsid w:val="00566E5D"/>
    <w:rsid w:val="005844FF"/>
    <w:rsid w:val="00587F18"/>
    <w:rsid w:val="00596D80"/>
    <w:rsid w:val="005B0F8E"/>
    <w:rsid w:val="005D57EB"/>
    <w:rsid w:val="006018E7"/>
    <w:rsid w:val="00602BD3"/>
    <w:rsid w:val="00610921"/>
    <w:rsid w:val="006171CC"/>
    <w:rsid w:val="0062222E"/>
    <w:rsid w:val="006222F5"/>
    <w:rsid w:val="00622656"/>
    <w:rsid w:val="00640087"/>
    <w:rsid w:val="006446B0"/>
    <w:rsid w:val="00653AAF"/>
    <w:rsid w:val="00680EC2"/>
    <w:rsid w:val="00681147"/>
    <w:rsid w:val="00686E97"/>
    <w:rsid w:val="00691FC7"/>
    <w:rsid w:val="006A37DB"/>
    <w:rsid w:val="006B5088"/>
    <w:rsid w:val="006B5D8A"/>
    <w:rsid w:val="006C15DB"/>
    <w:rsid w:val="006C320E"/>
    <w:rsid w:val="006D3CE1"/>
    <w:rsid w:val="006E4A13"/>
    <w:rsid w:val="006E5D2B"/>
    <w:rsid w:val="006F17D5"/>
    <w:rsid w:val="006F3D4F"/>
    <w:rsid w:val="00703187"/>
    <w:rsid w:val="007059E8"/>
    <w:rsid w:val="007066B1"/>
    <w:rsid w:val="00710029"/>
    <w:rsid w:val="00723718"/>
    <w:rsid w:val="00730713"/>
    <w:rsid w:val="00744B9B"/>
    <w:rsid w:val="00791722"/>
    <w:rsid w:val="00793623"/>
    <w:rsid w:val="007B3188"/>
    <w:rsid w:val="007B595C"/>
    <w:rsid w:val="007C7316"/>
    <w:rsid w:val="007E1ECE"/>
    <w:rsid w:val="007F5E4E"/>
    <w:rsid w:val="007F67A3"/>
    <w:rsid w:val="007F79A0"/>
    <w:rsid w:val="00800BA2"/>
    <w:rsid w:val="00803FDA"/>
    <w:rsid w:val="0081154F"/>
    <w:rsid w:val="00820C27"/>
    <w:rsid w:val="00825A1D"/>
    <w:rsid w:val="00826CD7"/>
    <w:rsid w:val="0083104E"/>
    <w:rsid w:val="00831AD4"/>
    <w:rsid w:val="00855F09"/>
    <w:rsid w:val="008578EC"/>
    <w:rsid w:val="00864A31"/>
    <w:rsid w:val="00880AA4"/>
    <w:rsid w:val="0089036C"/>
    <w:rsid w:val="00896720"/>
    <w:rsid w:val="00896B6D"/>
    <w:rsid w:val="008C326D"/>
    <w:rsid w:val="008C3C81"/>
    <w:rsid w:val="008C6ADC"/>
    <w:rsid w:val="008E2C15"/>
    <w:rsid w:val="0090793F"/>
    <w:rsid w:val="009139D4"/>
    <w:rsid w:val="009175CD"/>
    <w:rsid w:val="00930C14"/>
    <w:rsid w:val="00936897"/>
    <w:rsid w:val="00941287"/>
    <w:rsid w:val="00950839"/>
    <w:rsid w:val="00950A77"/>
    <w:rsid w:val="009525B2"/>
    <w:rsid w:val="00954E04"/>
    <w:rsid w:val="00966632"/>
    <w:rsid w:val="00967F54"/>
    <w:rsid w:val="009743D0"/>
    <w:rsid w:val="00993DA5"/>
    <w:rsid w:val="009B49D4"/>
    <w:rsid w:val="009C721A"/>
    <w:rsid w:val="009C799D"/>
    <w:rsid w:val="009D3606"/>
    <w:rsid w:val="009E0EC2"/>
    <w:rsid w:val="009E66D4"/>
    <w:rsid w:val="009F4279"/>
    <w:rsid w:val="009F43B8"/>
    <w:rsid w:val="00A27D26"/>
    <w:rsid w:val="00A42E40"/>
    <w:rsid w:val="00A60BBF"/>
    <w:rsid w:val="00A7144D"/>
    <w:rsid w:val="00A85F89"/>
    <w:rsid w:val="00A945EC"/>
    <w:rsid w:val="00AC3D77"/>
    <w:rsid w:val="00AD4EB1"/>
    <w:rsid w:val="00AF6980"/>
    <w:rsid w:val="00B156DE"/>
    <w:rsid w:val="00B27AAE"/>
    <w:rsid w:val="00B41AD5"/>
    <w:rsid w:val="00B52E78"/>
    <w:rsid w:val="00B57D68"/>
    <w:rsid w:val="00B67219"/>
    <w:rsid w:val="00B91A98"/>
    <w:rsid w:val="00B951B2"/>
    <w:rsid w:val="00BA01C1"/>
    <w:rsid w:val="00BB6513"/>
    <w:rsid w:val="00BB7CB8"/>
    <w:rsid w:val="00BC6802"/>
    <w:rsid w:val="00BD24EA"/>
    <w:rsid w:val="00BE1746"/>
    <w:rsid w:val="00BE52B8"/>
    <w:rsid w:val="00C013EB"/>
    <w:rsid w:val="00C060B8"/>
    <w:rsid w:val="00C11940"/>
    <w:rsid w:val="00C13223"/>
    <w:rsid w:val="00C3621E"/>
    <w:rsid w:val="00C372ED"/>
    <w:rsid w:val="00C44E5C"/>
    <w:rsid w:val="00C538EF"/>
    <w:rsid w:val="00C54428"/>
    <w:rsid w:val="00C5559D"/>
    <w:rsid w:val="00C62E87"/>
    <w:rsid w:val="00C954D2"/>
    <w:rsid w:val="00CA0EF1"/>
    <w:rsid w:val="00CA0F12"/>
    <w:rsid w:val="00CA73D8"/>
    <w:rsid w:val="00CC7671"/>
    <w:rsid w:val="00CE7981"/>
    <w:rsid w:val="00CF0E35"/>
    <w:rsid w:val="00CF0F4B"/>
    <w:rsid w:val="00CF30FA"/>
    <w:rsid w:val="00CF758A"/>
    <w:rsid w:val="00D056D7"/>
    <w:rsid w:val="00D1703C"/>
    <w:rsid w:val="00D53005"/>
    <w:rsid w:val="00D54964"/>
    <w:rsid w:val="00D850D0"/>
    <w:rsid w:val="00DA47DD"/>
    <w:rsid w:val="00DB2111"/>
    <w:rsid w:val="00DB3D82"/>
    <w:rsid w:val="00DC3D3C"/>
    <w:rsid w:val="00DC53FB"/>
    <w:rsid w:val="00DC5BAF"/>
    <w:rsid w:val="00DD09E6"/>
    <w:rsid w:val="00DD60BA"/>
    <w:rsid w:val="00DD7960"/>
    <w:rsid w:val="00DE6F0F"/>
    <w:rsid w:val="00E00D77"/>
    <w:rsid w:val="00E052B1"/>
    <w:rsid w:val="00E13EDB"/>
    <w:rsid w:val="00E32FC0"/>
    <w:rsid w:val="00E40750"/>
    <w:rsid w:val="00E425DC"/>
    <w:rsid w:val="00E51550"/>
    <w:rsid w:val="00E54B6A"/>
    <w:rsid w:val="00E57E21"/>
    <w:rsid w:val="00E60AF3"/>
    <w:rsid w:val="00E74EB7"/>
    <w:rsid w:val="00E81E0A"/>
    <w:rsid w:val="00E822EF"/>
    <w:rsid w:val="00EB0D48"/>
    <w:rsid w:val="00EB2300"/>
    <w:rsid w:val="00ED7F2E"/>
    <w:rsid w:val="00EE58C7"/>
    <w:rsid w:val="00EE5EBC"/>
    <w:rsid w:val="00F00FA0"/>
    <w:rsid w:val="00F055B6"/>
    <w:rsid w:val="00F201C9"/>
    <w:rsid w:val="00F2671B"/>
    <w:rsid w:val="00F32CAB"/>
    <w:rsid w:val="00F53190"/>
    <w:rsid w:val="00F678D8"/>
    <w:rsid w:val="00F86055"/>
    <w:rsid w:val="00F90488"/>
    <w:rsid w:val="00FA755D"/>
    <w:rsid w:val="00FB3BAD"/>
    <w:rsid w:val="00FB3E19"/>
    <w:rsid w:val="00FB43D0"/>
    <w:rsid w:val="00FD6F10"/>
    <w:rsid w:val="00FF505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3C"/>
  </w:style>
  <w:style w:type="paragraph" w:styleId="Heading1">
    <w:name w:val="heading 1"/>
    <w:basedOn w:val="Normal"/>
    <w:next w:val="Normal"/>
    <w:link w:val="Heading1Char"/>
    <w:uiPriority w:val="9"/>
    <w:qFormat/>
    <w:rsid w:val="00CC7671"/>
    <w:pPr>
      <w:keepNext/>
      <w:numPr>
        <w:numId w:val="7"/>
      </w:numPr>
      <w:spacing w:before="240" w:after="60"/>
      <w:ind w:right="720"/>
      <w:jc w:val="both"/>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C7671"/>
    <w:pPr>
      <w:numPr>
        <w:ilvl w:val="1"/>
        <w:numId w:val="7"/>
      </w:num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CC7671"/>
    <w:pPr>
      <w:keepNext/>
      <w:numPr>
        <w:ilvl w:val="2"/>
        <w:numId w:val="7"/>
      </w:numPr>
      <w:spacing w:before="240" w:after="60"/>
      <w:ind w:right="720"/>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C7671"/>
    <w:pPr>
      <w:keepNext/>
      <w:numPr>
        <w:ilvl w:val="3"/>
        <w:numId w:val="7"/>
      </w:numPr>
      <w:spacing w:before="240" w:after="60"/>
      <w:ind w:right="720"/>
      <w:jc w:val="both"/>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CC7671"/>
    <w:pPr>
      <w:numPr>
        <w:ilvl w:val="4"/>
        <w:numId w:val="7"/>
      </w:numPr>
      <w:spacing w:before="240" w:after="60"/>
      <w:ind w:right="720"/>
      <w:jc w:val="both"/>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CC7671"/>
    <w:pPr>
      <w:numPr>
        <w:ilvl w:val="5"/>
        <w:numId w:val="7"/>
      </w:numPr>
      <w:spacing w:before="240" w:after="60"/>
      <w:ind w:right="720"/>
      <w:jc w:val="both"/>
      <w:outlineLvl w:val="5"/>
    </w:pPr>
    <w:rPr>
      <w:rFonts w:ascii="Calibri" w:eastAsia="Times New Roman" w:hAnsi="Calibri"/>
      <w:b/>
      <w:bCs/>
      <w:sz w:val="22"/>
      <w:szCs w:val="22"/>
    </w:rPr>
  </w:style>
  <w:style w:type="paragraph" w:styleId="Heading7">
    <w:name w:val="heading 7"/>
    <w:basedOn w:val="Normal"/>
    <w:next w:val="Normal"/>
    <w:link w:val="Heading7Char"/>
    <w:uiPriority w:val="9"/>
    <w:unhideWhenUsed/>
    <w:qFormat/>
    <w:rsid w:val="00CC7671"/>
    <w:pPr>
      <w:numPr>
        <w:ilvl w:val="6"/>
        <w:numId w:val="7"/>
      </w:numPr>
      <w:spacing w:before="240" w:after="60"/>
      <w:ind w:right="720"/>
      <w:jc w:val="both"/>
      <w:outlineLvl w:val="6"/>
    </w:pPr>
    <w:rPr>
      <w:rFonts w:ascii="Calibri" w:eastAsia="Times New Roman" w:hAnsi="Calibri"/>
    </w:rPr>
  </w:style>
  <w:style w:type="paragraph" w:styleId="Heading8">
    <w:name w:val="heading 8"/>
    <w:basedOn w:val="Normal"/>
    <w:next w:val="Normal"/>
    <w:link w:val="Heading8Char"/>
    <w:uiPriority w:val="9"/>
    <w:unhideWhenUsed/>
    <w:qFormat/>
    <w:rsid w:val="00CC7671"/>
    <w:pPr>
      <w:numPr>
        <w:ilvl w:val="7"/>
        <w:numId w:val="7"/>
      </w:numPr>
      <w:spacing w:before="240" w:after="60"/>
      <w:ind w:right="720"/>
      <w:jc w:val="both"/>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CC7671"/>
    <w:pPr>
      <w:numPr>
        <w:ilvl w:val="8"/>
        <w:numId w:val="7"/>
      </w:numPr>
      <w:spacing w:before="240" w:after="60"/>
      <w:ind w:right="720"/>
      <w:jc w:val="both"/>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53005"/>
    <w:rPr>
      <w:rFonts w:eastAsia="Times New Roman"/>
      <w:sz w:val="20"/>
      <w:szCs w:val="20"/>
    </w:rPr>
  </w:style>
  <w:style w:type="character" w:customStyle="1" w:styleId="FootnoteTextChar">
    <w:name w:val="Footnote Text Char"/>
    <w:basedOn w:val="DefaultParagraphFont"/>
    <w:link w:val="FootnoteText"/>
    <w:uiPriority w:val="99"/>
    <w:rsid w:val="00D5300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53005"/>
    <w:rPr>
      <w:vertAlign w:val="superscript"/>
    </w:rPr>
  </w:style>
  <w:style w:type="paragraph" w:styleId="NormalWeb">
    <w:name w:val="Normal (Web)"/>
    <w:basedOn w:val="Normal"/>
    <w:uiPriority w:val="99"/>
    <w:unhideWhenUsed/>
    <w:rsid w:val="00F86055"/>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744B9B"/>
    <w:pPr>
      <w:tabs>
        <w:tab w:val="center" w:pos="4680"/>
        <w:tab w:val="right" w:pos="9360"/>
      </w:tabs>
    </w:pPr>
  </w:style>
  <w:style w:type="character" w:customStyle="1" w:styleId="HeaderChar">
    <w:name w:val="Header Char"/>
    <w:basedOn w:val="DefaultParagraphFont"/>
    <w:link w:val="Header"/>
    <w:uiPriority w:val="99"/>
    <w:semiHidden/>
    <w:rsid w:val="00744B9B"/>
  </w:style>
  <w:style w:type="paragraph" w:styleId="Footer">
    <w:name w:val="footer"/>
    <w:basedOn w:val="Normal"/>
    <w:link w:val="FooterChar"/>
    <w:uiPriority w:val="99"/>
    <w:unhideWhenUsed/>
    <w:rsid w:val="00744B9B"/>
    <w:pPr>
      <w:tabs>
        <w:tab w:val="center" w:pos="4680"/>
        <w:tab w:val="right" w:pos="9360"/>
      </w:tabs>
    </w:pPr>
  </w:style>
  <w:style w:type="character" w:customStyle="1" w:styleId="FooterChar">
    <w:name w:val="Footer Char"/>
    <w:basedOn w:val="DefaultParagraphFont"/>
    <w:link w:val="Footer"/>
    <w:uiPriority w:val="99"/>
    <w:rsid w:val="00744B9B"/>
  </w:style>
  <w:style w:type="paragraph" w:styleId="BodyTextIndent">
    <w:name w:val="Body Text Indent"/>
    <w:basedOn w:val="Normal"/>
    <w:link w:val="BodyTextIndentChar"/>
    <w:rsid w:val="00E54B6A"/>
    <w:pPr>
      <w:ind w:left="720"/>
    </w:pPr>
    <w:rPr>
      <w:rFonts w:eastAsia="Times New Roman"/>
    </w:rPr>
  </w:style>
  <w:style w:type="character" w:customStyle="1" w:styleId="BodyTextIndentChar">
    <w:name w:val="Body Text Indent Char"/>
    <w:basedOn w:val="DefaultParagraphFont"/>
    <w:link w:val="BodyTextIndent"/>
    <w:rsid w:val="00E54B6A"/>
    <w:rPr>
      <w:rFonts w:eastAsia="Times New Roman"/>
    </w:rPr>
  </w:style>
  <w:style w:type="character" w:customStyle="1" w:styleId="Heading1Char">
    <w:name w:val="Heading 1 Char"/>
    <w:basedOn w:val="DefaultParagraphFont"/>
    <w:link w:val="Heading1"/>
    <w:uiPriority w:val="9"/>
    <w:rsid w:val="00CC7671"/>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CC7671"/>
    <w:rPr>
      <w:rFonts w:eastAsia="Times New Roman"/>
      <w:b/>
      <w:bCs/>
      <w:sz w:val="36"/>
      <w:szCs w:val="36"/>
    </w:rPr>
  </w:style>
  <w:style w:type="character" w:customStyle="1" w:styleId="Heading3Char">
    <w:name w:val="Heading 3 Char"/>
    <w:basedOn w:val="DefaultParagraphFont"/>
    <w:link w:val="Heading3"/>
    <w:uiPriority w:val="9"/>
    <w:rsid w:val="00CC7671"/>
    <w:rPr>
      <w:rFonts w:ascii="Cambria" w:eastAsia="Times New Roman" w:hAnsi="Cambria"/>
      <w:b/>
      <w:bCs/>
      <w:sz w:val="26"/>
      <w:szCs w:val="26"/>
    </w:rPr>
  </w:style>
  <w:style w:type="character" w:customStyle="1" w:styleId="Heading4Char">
    <w:name w:val="Heading 4 Char"/>
    <w:basedOn w:val="DefaultParagraphFont"/>
    <w:link w:val="Heading4"/>
    <w:uiPriority w:val="9"/>
    <w:rsid w:val="00CC7671"/>
    <w:rPr>
      <w:rFonts w:ascii="Calibri" w:eastAsia="Times New Roman" w:hAnsi="Calibri"/>
      <w:b/>
      <w:bCs/>
      <w:sz w:val="28"/>
      <w:szCs w:val="28"/>
    </w:rPr>
  </w:style>
  <w:style w:type="character" w:customStyle="1" w:styleId="Heading5Char">
    <w:name w:val="Heading 5 Char"/>
    <w:basedOn w:val="DefaultParagraphFont"/>
    <w:link w:val="Heading5"/>
    <w:uiPriority w:val="9"/>
    <w:rsid w:val="00CC7671"/>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CC7671"/>
    <w:rPr>
      <w:rFonts w:ascii="Calibri" w:eastAsia="Times New Roman" w:hAnsi="Calibri"/>
      <w:b/>
      <w:bCs/>
      <w:sz w:val="22"/>
      <w:szCs w:val="22"/>
    </w:rPr>
  </w:style>
  <w:style w:type="character" w:customStyle="1" w:styleId="Heading7Char">
    <w:name w:val="Heading 7 Char"/>
    <w:basedOn w:val="DefaultParagraphFont"/>
    <w:link w:val="Heading7"/>
    <w:uiPriority w:val="9"/>
    <w:rsid w:val="00CC7671"/>
    <w:rPr>
      <w:rFonts w:ascii="Calibri" w:eastAsia="Times New Roman" w:hAnsi="Calibri"/>
    </w:rPr>
  </w:style>
  <w:style w:type="character" w:customStyle="1" w:styleId="Heading8Char">
    <w:name w:val="Heading 8 Char"/>
    <w:basedOn w:val="DefaultParagraphFont"/>
    <w:link w:val="Heading8"/>
    <w:uiPriority w:val="9"/>
    <w:rsid w:val="00CC7671"/>
    <w:rPr>
      <w:rFonts w:ascii="Calibri" w:eastAsia="Times New Roman" w:hAnsi="Calibri"/>
      <w:i/>
      <w:iCs/>
    </w:rPr>
  </w:style>
  <w:style w:type="character" w:customStyle="1" w:styleId="Heading9Char">
    <w:name w:val="Heading 9 Char"/>
    <w:basedOn w:val="DefaultParagraphFont"/>
    <w:link w:val="Heading9"/>
    <w:uiPriority w:val="9"/>
    <w:rsid w:val="00CC7671"/>
    <w:rPr>
      <w:rFonts w:ascii="Cambria" w:eastAsia="Times New Roman" w:hAnsi="Cambria"/>
      <w:sz w:val="22"/>
      <w:szCs w:val="22"/>
    </w:rPr>
  </w:style>
  <w:style w:type="paragraph" w:styleId="ListParagraph">
    <w:name w:val="List Paragraph"/>
    <w:basedOn w:val="Normal"/>
    <w:uiPriority w:val="34"/>
    <w:qFormat/>
    <w:rsid w:val="00CC7671"/>
    <w:pPr>
      <w:ind w:left="720"/>
      <w:contextualSpacing/>
    </w:pPr>
    <w:rPr>
      <w:rFonts w:eastAsia="Times New Roman"/>
    </w:rPr>
  </w:style>
  <w:style w:type="paragraph" w:styleId="BodyText">
    <w:name w:val="Body Text"/>
    <w:basedOn w:val="Normal"/>
    <w:link w:val="BodyTextChar"/>
    <w:uiPriority w:val="99"/>
    <w:semiHidden/>
    <w:unhideWhenUsed/>
    <w:rsid w:val="00345612"/>
    <w:pPr>
      <w:spacing w:after="120"/>
    </w:pPr>
  </w:style>
  <w:style w:type="character" w:customStyle="1" w:styleId="BodyTextChar">
    <w:name w:val="Body Text Char"/>
    <w:basedOn w:val="DefaultParagraphFont"/>
    <w:link w:val="BodyText"/>
    <w:uiPriority w:val="99"/>
    <w:semiHidden/>
    <w:rsid w:val="00345612"/>
  </w:style>
  <w:style w:type="paragraph" w:styleId="BalloonText">
    <w:name w:val="Balloon Text"/>
    <w:basedOn w:val="Normal"/>
    <w:link w:val="BalloonTextChar"/>
    <w:uiPriority w:val="99"/>
    <w:semiHidden/>
    <w:unhideWhenUsed/>
    <w:rsid w:val="009525B2"/>
    <w:rPr>
      <w:rFonts w:ascii="Tahoma" w:hAnsi="Tahoma" w:cs="Tahoma"/>
      <w:sz w:val="16"/>
      <w:szCs w:val="16"/>
    </w:rPr>
  </w:style>
  <w:style w:type="character" w:customStyle="1" w:styleId="BalloonTextChar">
    <w:name w:val="Balloon Text Char"/>
    <w:basedOn w:val="DefaultParagraphFont"/>
    <w:link w:val="BalloonText"/>
    <w:uiPriority w:val="99"/>
    <w:semiHidden/>
    <w:rsid w:val="009525B2"/>
    <w:rPr>
      <w:rFonts w:ascii="Tahoma" w:hAnsi="Tahoma" w:cs="Tahoma"/>
      <w:sz w:val="16"/>
      <w:szCs w:val="16"/>
    </w:rPr>
  </w:style>
  <w:style w:type="paragraph" w:styleId="ListBullet">
    <w:name w:val="List Bullet"/>
    <w:basedOn w:val="Normal"/>
    <w:rsid w:val="005D57EB"/>
    <w:pPr>
      <w:numPr>
        <w:numId w:val="10"/>
      </w:numPr>
      <w:spacing w:after="240"/>
    </w:pPr>
    <w:rPr>
      <w:rFonts w:eastAsia="Times New Roman"/>
      <w:kern w:val="24"/>
    </w:rPr>
  </w:style>
  <w:style w:type="character" w:styleId="Hyperlink">
    <w:name w:val="Hyperlink"/>
    <w:basedOn w:val="DefaultParagraphFont"/>
    <w:uiPriority w:val="99"/>
    <w:semiHidden/>
    <w:unhideWhenUsed/>
    <w:rsid w:val="00343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3C"/>
  </w:style>
  <w:style w:type="paragraph" w:styleId="Heading1">
    <w:name w:val="heading 1"/>
    <w:basedOn w:val="Normal"/>
    <w:next w:val="Normal"/>
    <w:link w:val="Heading1Char"/>
    <w:uiPriority w:val="9"/>
    <w:qFormat/>
    <w:rsid w:val="00CC7671"/>
    <w:pPr>
      <w:keepNext/>
      <w:numPr>
        <w:numId w:val="7"/>
      </w:numPr>
      <w:spacing w:before="240" w:after="60"/>
      <w:ind w:right="720"/>
      <w:jc w:val="both"/>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C7671"/>
    <w:pPr>
      <w:numPr>
        <w:ilvl w:val="1"/>
        <w:numId w:val="7"/>
      </w:num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CC7671"/>
    <w:pPr>
      <w:keepNext/>
      <w:numPr>
        <w:ilvl w:val="2"/>
        <w:numId w:val="7"/>
      </w:numPr>
      <w:spacing w:before="240" w:after="60"/>
      <w:ind w:right="720"/>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C7671"/>
    <w:pPr>
      <w:keepNext/>
      <w:numPr>
        <w:ilvl w:val="3"/>
        <w:numId w:val="7"/>
      </w:numPr>
      <w:spacing w:before="240" w:after="60"/>
      <w:ind w:right="720"/>
      <w:jc w:val="both"/>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CC7671"/>
    <w:pPr>
      <w:numPr>
        <w:ilvl w:val="4"/>
        <w:numId w:val="7"/>
      </w:numPr>
      <w:spacing w:before="240" w:after="60"/>
      <w:ind w:right="720"/>
      <w:jc w:val="both"/>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CC7671"/>
    <w:pPr>
      <w:numPr>
        <w:ilvl w:val="5"/>
        <w:numId w:val="7"/>
      </w:numPr>
      <w:spacing w:before="240" w:after="60"/>
      <w:ind w:right="720"/>
      <w:jc w:val="both"/>
      <w:outlineLvl w:val="5"/>
    </w:pPr>
    <w:rPr>
      <w:rFonts w:ascii="Calibri" w:eastAsia="Times New Roman" w:hAnsi="Calibri"/>
      <w:b/>
      <w:bCs/>
      <w:sz w:val="22"/>
      <w:szCs w:val="22"/>
    </w:rPr>
  </w:style>
  <w:style w:type="paragraph" w:styleId="Heading7">
    <w:name w:val="heading 7"/>
    <w:basedOn w:val="Normal"/>
    <w:next w:val="Normal"/>
    <w:link w:val="Heading7Char"/>
    <w:uiPriority w:val="9"/>
    <w:unhideWhenUsed/>
    <w:qFormat/>
    <w:rsid w:val="00CC7671"/>
    <w:pPr>
      <w:numPr>
        <w:ilvl w:val="6"/>
        <w:numId w:val="7"/>
      </w:numPr>
      <w:spacing w:before="240" w:after="60"/>
      <w:ind w:right="720"/>
      <w:jc w:val="both"/>
      <w:outlineLvl w:val="6"/>
    </w:pPr>
    <w:rPr>
      <w:rFonts w:ascii="Calibri" w:eastAsia="Times New Roman" w:hAnsi="Calibri"/>
    </w:rPr>
  </w:style>
  <w:style w:type="paragraph" w:styleId="Heading8">
    <w:name w:val="heading 8"/>
    <w:basedOn w:val="Normal"/>
    <w:next w:val="Normal"/>
    <w:link w:val="Heading8Char"/>
    <w:uiPriority w:val="9"/>
    <w:unhideWhenUsed/>
    <w:qFormat/>
    <w:rsid w:val="00CC7671"/>
    <w:pPr>
      <w:numPr>
        <w:ilvl w:val="7"/>
        <w:numId w:val="7"/>
      </w:numPr>
      <w:spacing w:before="240" w:after="60"/>
      <w:ind w:right="720"/>
      <w:jc w:val="both"/>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CC7671"/>
    <w:pPr>
      <w:numPr>
        <w:ilvl w:val="8"/>
        <w:numId w:val="7"/>
      </w:numPr>
      <w:spacing w:before="240" w:after="60"/>
      <w:ind w:right="720"/>
      <w:jc w:val="both"/>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53005"/>
    <w:rPr>
      <w:rFonts w:eastAsia="Times New Roman"/>
      <w:sz w:val="20"/>
      <w:szCs w:val="20"/>
    </w:rPr>
  </w:style>
  <w:style w:type="character" w:customStyle="1" w:styleId="FootnoteTextChar">
    <w:name w:val="Footnote Text Char"/>
    <w:basedOn w:val="DefaultParagraphFont"/>
    <w:link w:val="FootnoteText"/>
    <w:uiPriority w:val="99"/>
    <w:rsid w:val="00D5300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53005"/>
    <w:rPr>
      <w:vertAlign w:val="superscript"/>
    </w:rPr>
  </w:style>
  <w:style w:type="paragraph" w:styleId="NormalWeb">
    <w:name w:val="Normal (Web)"/>
    <w:basedOn w:val="Normal"/>
    <w:uiPriority w:val="99"/>
    <w:unhideWhenUsed/>
    <w:rsid w:val="00F86055"/>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744B9B"/>
    <w:pPr>
      <w:tabs>
        <w:tab w:val="center" w:pos="4680"/>
        <w:tab w:val="right" w:pos="9360"/>
      </w:tabs>
    </w:pPr>
  </w:style>
  <w:style w:type="character" w:customStyle="1" w:styleId="HeaderChar">
    <w:name w:val="Header Char"/>
    <w:basedOn w:val="DefaultParagraphFont"/>
    <w:link w:val="Header"/>
    <w:uiPriority w:val="99"/>
    <w:semiHidden/>
    <w:rsid w:val="00744B9B"/>
  </w:style>
  <w:style w:type="paragraph" w:styleId="Footer">
    <w:name w:val="footer"/>
    <w:basedOn w:val="Normal"/>
    <w:link w:val="FooterChar"/>
    <w:uiPriority w:val="99"/>
    <w:unhideWhenUsed/>
    <w:rsid w:val="00744B9B"/>
    <w:pPr>
      <w:tabs>
        <w:tab w:val="center" w:pos="4680"/>
        <w:tab w:val="right" w:pos="9360"/>
      </w:tabs>
    </w:pPr>
  </w:style>
  <w:style w:type="character" w:customStyle="1" w:styleId="FooterChar">
    <w:name w:val="Footer Char"/>
    <w:basedOn w:val="DefaultParagraphFont"/>
    <w:link w:val="Footer"/>
    <w:uiPriority w:val="99"/>
    <w:rsid w:val="00744B9B"/>
  </w:style>
  <w:style w:type="paragraph" w:styleId="BodyTextIndent">
    <w:name w:val="Body Text Indent"/>
    <w:basedOn w:val="Normal"/>
    <w:link w:val="BodyTextIndentChar"/>
    <w:rsid w:val="00E54B6A"/>
    <w:pPr>
      <w:ind w:left="720"/>
    </w:pPr>
    <w:rPr>
      <w:rFonts w:eastAsia="Times New Roman"/>
    </w:rPr>
  </w:style>
  <w:style w:type="character" w:customStyle="1" w:styleId="BodyTextIndentChar">
    <w:name w:val="Body Text Indent Char"/>
    <w:basedOn w:val="DefaultParagraphFont"/>
    <w:link w:val="BodyTextIndent"/>
    <w:rsid w:val="00E54B6A"/>
    <w:rPr>
      <w:rFonts w:eastAsia="Times New Roman"/>
    </w:rPr>
  </w:style>
  <w:style w:type="character" w:customStyle="1" w:styleId="Heading1Char">
    <w:name w:val="Heading 1 Char"/>
    <w:basedOn w:val="DefaultParagraphFont"/>
    <w:link w:val="Heading1"/>
    <w:uiPriority w:val="9"/>
    <w:rsid w:val="00CC7671"/>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CC7671"/>
    <w:rPr>
      <w:rFonts w:eastAsia="Times New Roman"/>
      <w:b/>
      <w:bCs/>
      <w:sz w:val="36"/>
      <w:szCs w:val="36"/>
    </w:rPr>
  </w:style>
  <w:style w:type="character" w:customStyle="1" w:styleId="Heading3Char">
    <w:name w:val="Heading 3 Char"/>
    <w:basedOn w:val="DefaultParagraphFont"/>
    <w:link w:val="Heading3"/>
    <w:uiPriority w:val="9"/>
    <w:rsid w:val="00CC7671"/>
    <w:rPr>
      <w:rFonts w:ascii="Cambria" w:eastAsia="Times New Roman" w:hAnsi="Cambria"/>
      <w:b/>
      <w:bCs/>
      <w:sz w:val="26"/>
      <w:szCs w:val="26"/>
    </w:rPr>
  </w:style>
  <w:style w:type="character" w:customStyle="1" w:styleId="Heading4Char">
    <w:name w:val="Heading 4 Char"/>
    <w:basedOn w:val="DefaultParagraphFont"/>
    <w:link w:val="Heading4"/>
    <w:uiPriority w:val="9"/>
    <w:rsid w:val="00CC7671"/>
    <w:rPr>
      <w:rFonts w:ascii="Calibri" w:eastAsia="Times New Roman" w:hAnsi="Calibri"/>
      <w:b/>
      <w:bCs/>
      <w:sz w:val="28"/>
      <w:szCs w:val="28"/>
    </w:rPr>
  </w:style>
  <w:style w:type="character" w:customStyle="1" w:styleId="Heading5Char">
    <w:name w:val="Heading 5 Char"/>
    <w:basedOn w:val="DefaultParagraphFont"/>
    <w:link w:val="Heading5"/>
    <w:uiPriority w:val="9"/>
    <w:rsid w:val="00CC7671"/>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CC7671"/>
    <w:rPr>
      <w:rFonts w:ascii="Calibri" w:eastAsia="Times New Roman" w:hAnsi="Calibri"/>
      <w:b/>
      <w:bCs/>
      <w:sz w:val="22"/>
      <w:szCs w:val="22"/>
    </w:rPr>
  </w:style>
  <w:style w:type="character" w:customStyle="1" w:styleId="Heading7Char">
    <w:name w:val="Heading 7 Char"/>
    <w:basedOn w:val="DefaultParagraphFont"/>
    <w:link w:val="Heading7"/>
    <w:uiPriority w:val="9"/>
    <w:rsid w:val="00CC7671"/>
    <w:rPr>
      <w:rFonts w:ascii="Calibri" w:eastAsia="Times New Roman" w:hAnsi="Calibri"/>
    </w:rPr>
  </w:style>
  <w:style w:type="character" w:customStyle="1" w:styleId="Heading8Char">
    <w:name w:val="Heading 8 Char"/>
    <w:basedOn w:val="DefaultParagraphFont"/>
    <w:link w:val="Heading8"/>
    <w:uiPriority w:val="9"/>
    <w:rsid w:val="00CC7671"/>
    <w:rPr>
      <w:rFonts w:ascii="Calibri" w:eastAsia="Times New Roman" w:hAnsi="Calibri"/>
      <w:i/>
      <w:iCs/>
    </w:rPr>
  </w:style>
  <w:style w:type="character" w:customStyle="1" w:styleId="Heading9Char">
    <w:name w:val="Heading 9 Char"/>
    <w:basedOn w:val="DefaultParagraphFont"/>
    <w:link w:val="Heading9"/>
    <w:uiPriority w:val="9"/>
    <w:rsid w:val="00CC7671"/>
    <w:rPr>
      <w:rFonts w:ascii="Cambria" w:eastAsia="Times New Roman" w:hAnsi="Cambria"/>
      <w:sz w:val="22"/>
      <w:szCs w:val="22"/>
    </w:rPr>
  </w:style>
  <w:style w:type="paragraph" w:styleId="ListParagraph">
    <w:name w:val="List Paragraph"/>
    <w:basedOn w:val="Normal"/>
    <w:uiPriority w:val="34"/>
    <w:qFormat/>
    <w:rsid w:val="00CC7671"/>
    <w:pPr>
      <w:ind w:left="720"/>
      <w:contextualSpacing/>
    </w:pPr>
    <w:rPr>
      <w:rFonts w:eastAsia="Times New Roman"/>
    </w:rPr>
  </w:style>
  <w:style w:type="paragraph" w:styleId="BodyText">
    <w:name w:val="Body Text"/>
    <w:basedOn w:val="Normal"/>
    <w:link w:val="BodyTextChar"/>
    <w:uiPriority w:val="99"/>
    <w:semiHidden/>
    <w:unhideWhenUsed/>
    <w:rsid w:val="00345612"/>
    <w:pPr>
      <w:spacing w:after="120"/>
    </w:pPr>
  </w:style>
  <w:style w:type="character" w:customStyle="1" w:styleId="BodyTextChar">
    <w:name w:val="Body Text Char"/>
    <w:basedOn w:val="DefaultParagraphFont"/>
    <w:link w:val="BodyText"/>
    <w:uiPriority w:val="99"/>
    <w:semiHidden/>
    <w:rsid w:val="00345612"/>
  </w:style>
  <w:style w:type="paragraph" w:styleId="BalloonText">
    <w:name w:val="Balloon Text"/>
    <w:basedOn w:val="Normal"/>
    <w:link w:val="BalloonTextChar"/>
    <w:uiPriority w:val="99"/>
    <w:semiHidden/>
    <w:unhideWhenUsed/>
    <w:rsid w:val="009525B2"/>
    <w:rPr>
      <w:rFonts w:ascii="Tahoma" w:hAnsi="Tahoma" w:cs="Tahoma"/>
      <w:sz w:val="16"/>
      <w:szCs w:val="16"/>
    </w:rPr>
  </w:style>
  <w:style w:type="character" w:customStyle="1" w:styleId="BalloonTextChar">
    <w:name w:val="Balloon Text Char"/>
    <w:basedOn w:val="DefaultParagraphFont"/>
    <w:link w:val="BalloonText"/>
    <w:uiPriority w:val="99"/>
    <w:semiHidden/>
    <w:rsid w:val="009525B2"/>
    <w:rPr>
      <w:rFonts w:ascii="Tahoma" w:hAnsi="Tahoma" w:cs="Tahoma"/>
      <w:sz w:val="16"/>
      <w:szCs w:val="16"/>
    </w:rPr>
  </w:style>
  <w:style w:type="paragraph" w:styleId="ListBullet">
    <w:name w:val="List Bullet"/>
    <w:basedOn w:val="Normal"/>
    <w:rsid w:val="005D57EB"/>
    <w:pPr>
      <w:numPr>
        <w:numId w:val="10"/>
      </w:numPr>
      <w:spacing w:after="240"/>
    </w:pPr>
    <w:rPr>
      <w:rFonts w:eastAsia="Times New Roman"/>
      <w:kern w:val="24"/>
    </w:rPr>
  </w:style>
  <w:style w:type="character" w:styleId="Hyperlink">
    <w:name w:val="Hyperlink"/>
    <w:basedOn w:val="DefaultParagraphFont"/>
    <w:uiPriority w:val="99"/>
    <w:semiHidden/>
    <w:unhideWhenUsed/>
    <w:rsid w:val="00343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77">
      <w:bodyDiv w:val="1"/>
      <w:marLeft w:val="0"/>
      <w:marRight w:val="0"/>
      <w:marTop w:val="0"/>
      <w:marBottom w:val="0"/>
      <w:divBdr>
        <w:top w:val="none" w:sz="0" w:space="0" w:color="auto"/>
        <w:left w:val="none" w:sz="0" w:space="0" w:color="auto"/>
        <w:bottom w:val="none" w:sz="0" w:space="0" w:color="auto"/>
        <w:right w:val="none" w:sz="0" w:space="0" w:color="auto"/>
      </w:divBdr>
      <w:divsChild>
        <w:div w:id="135032222">
          <w:marLeft w:val="1037"/>
          <w:marRight w:val="0"/>
          <w:marTop w:val="0"/>
          <w:marBottom w:val="0"/>
          <w:divBdr>
            <w:top w:val="none" w:sz="0" w:space="0" w:color="auto"/>
            <w:left w:val="none" w:sz="0" w:space="0" w:color="auto"/>
            <w:bottom w:val="none" w:sz="0" w:space="0" w:color="auto"/>
            <w:right w:val="none" w:sz="0" w:space="0" w:color="auto"/>
          </w:divBdr>
        </w:div>
      </w:divsChild>
    </w:div>
    <w:div w:id="315231674">
      <w:bodyDiv w:val="1"/>
      <w:marLeft w:val="0"/>
      <w:marRight w:val="0"/>
      <w:marTop w:val="0"/>
      <w:marBottom w:val="0"/>
      <w:divBdr>
        <w:top w:val="none" w:sz="0" w:space="0" w:color="auto"/>
        <w:left w:val="none" w:sz="0" w:space="0" w:color="auto"/>
        <w:bottom w:val="none" w:sz="0" w:space="0" w:color="auto"/>
        <w:right w:val="none" w:sz="0" w:space="0" w:color="auto"/>
      </w:divBdr>
      <w:divsChild>
        <w:div w:id="970671383">
          <w:marLeft w:val="0"/>
          <w:marRight w:val="0"/>
          <w:marTop w:val="0"/>
          <w:marBottom w:val="0"/>
          <w:divBdr>
            <w:top w:val="none" w:sz="0" w:space="0" w:color="auto"/>
            <w:left w:val="none" w:sz="0" w:space="0" w:color="auto"/>
            <w:bottom w:val="none" w:sz="0" w:space="0" w:color="auto"/>
            <w:right w:val="none" w:sz="0" w:space="0" w:color="auto"/>
          </w:divBdr>
          <w:divsChild>
            <w:div w:id="939407409">
              <w:marLeft w:val="0"/>
              <w:marRight w:val="0"/>
              <w:marTop w:val="0"/>
              <w:marBottom w:val="0"/>
              <w:divBdr>
                <w:top w:val="none" w:sz="0" w:space="0" w:color="auto"/>
                <w:left w:val="none" w:sz="0" w:space="0" w:color="auto"/>
                <w:bottom w:val="none" w:sz="0" w:space="0" w:color="auto"/>
                <w:right w:val="none" w:sz="0" w:space="0" w:color="auto"/>
              </w:divBdr>
              <w:divsChild>
                <w:div w:id="1111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6786">
      <w:bodyDiv w:val="1"/>
      <w:marLeft w:val="0"/>
      <w:marRight w:val="0"/>
      <w:marTop w:val="0"/>
      <w:marBottom w:val="0"/>
      <w:divBdr>
        <w:top w:val="none" w:sz="0" w:space="0" w:color="auto"/>
        <w:left w:val="none" w:sz="0" w:space="0" w:color="auto"/>
        <w:bottom w:val="none" w:sz="0" w:space="0" w:color="auto"/>
        <w:right w:val="none" w:sz="0" w:space="0" w:color="auto"/>
      </w:divBdr>
      <w:divsChild>
        <w:div w:id="1299722577">
          <w:marLeft w:val="0"/>
          <w:marRight w:val="0"/>
          <w:marTop w:val="0"/>
          <w:marBottom w:val="0"/>
          <w:divBdr>
            <w:top w:val="none" w:sz="0" w:space="0" w:color="auto"/>
            <w:left w:val="none" w:sz="0" w:space="0" w:color="auto"/>
            <w:bottom w:val="none" w:sz="0" w:space="0" w:color="auto"/>
            <w:right w:val="none" w:sz="0" w:space="0" w:color="auto"/>
          </w:divBdr>
          <w:divsChild>
            <w:div w:id="777792937">
              <w:marLeft w:val="0"/>
              <w:marRight w:val="0"/>
              <w:marTop w:val="0"/>
              <w:marBottom w:val="0"/>
              <w:divBdr>
                <w:top w:val="none" w:sz="0" w:space="0" w:color="auto"/>
                <w:left w:val="none" w:sz="0" w:space="0" w:color="auto"/>
                <w:bottom w:val="none" w:sz="0" w:space="0" w:color="auto"/>
                <w:right w:val="none" w:sz="0" w:space="0" w:color="auto"/>
              </w:divBdr>
              <w:divsChild>
                <w:div w:id="1772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8075">
      <w:bodyDiv w:val="1"/>
      <w:marLeft w:val="0"/>
      <w:marRight w:val="0"/>
      <w:marTop w:val="0"/>
      <w:marBottom w:val="0"/>
      <w:divBdr>
        <w:top w:val="none" w:sz="0" w:space="0" w:color="auto"/>
        <w:left w:val="none" w:sz="0" w:space="0" w:color="auto"/>
        <w:bottom w:val="none" w:sz="0" w:space="0" w:color="auto"/>
        <w:right w:val="none" w:sz="0" w:space="0" w:color="auto"/>
      </w:divBdr>
      <w:divsChild>
        <w:div w:id="2090468099">
          <w:marLeft w:val="576"/>
          <w:marRight w:val="0"/>
          <w:marTop w:val="0"/>
          <w:marBottom w:val="0"/>
          <w:divBdr>
            <w:top w:val="none" w:sz="0" w:space="0" w:color="auto"/>
            <w:left w:val="none" w:sz="0" w:space="0" w:color="auto"/>
            <w:bottom w:val="none" w:sz="0" w:space="0" w:color="auto"/>
            <w:right w:val="none" w:sz="0" w:space="0" w:color="auto"/>
          </w:divBdr>
        </w:div>
        <w:div w:id="478888918">
          <w:marLeft w:val="57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igc.gov/Portals/0/NIGC%20Uploads/lawsregulations/proposedamendments/MeisterReport2FINAL2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7625</Words>
  <Characters>43469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Mapetsi Policy Group</Company>
  <LinksUpToDate>false</LinksUpToDate>
  <CharactersWithSpaces>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Harte</dc:creator>
  <cp:lastModifiedBy>Danielle Her Many Horses</cp:lastModifiedBy>
  <cp:revision>2</cp:revision>
  <cp:lastPrinted>2014-07-09T18:41:00Z</cp:lastPrinted>
  <dcterms:created xsi:type="dcterms:W3CDTF">2014-07-21T16:55:00Z</dcterms:created>
  <dcterms:modified xsi:type="dcterms:W3CDTF">2014-07-21T16:55:00Z</dcterms:modified>
</cp:coreProperties>
</file>